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400"/>
        <w:gridCol w:w="3240"/>
        <w:gridCol w:w="2160"/>
      </w:tblGrid>
      <w:tr>
        <w:trPr>
          <w:trHeight w:val="90" w:hRule="exact"/>
        </w:trPr>
        <w:tc>
          <w:tcPr>
            <w:tcW w:type="dxa" w:w="5400"/>
            <w:shd w:fill="8F4763" w:val="clear"/>
          </w:tcPr>
          <w:p>
            <w:r>
              <w:t xml:space="preserve"/>
            </w:r>
          </w:p>
        </w:tc>
        <w:tc>
          <w:tcPr>
            <w:tcW w:type="dxa" w:w="3240"/>
            <w:shd w:fill="B25A79" w:val="clear"/>
          </w:tcPr>
          <w:p>
            <w:r>
              <w:t xml:space="preserve"/>
            </w:r>
          </w:p>
        </w:tc>
        <w:tc>
          <w:tcPr>
            <w:tcW w:type="dxa" w:w="2160"/>
            <w:shd w:fill="D9A9BC" w:val="clear"/>
          </w:tcPr>
          <w:p>
            <w:r>
              <w:t xml:space="preserve"/>
            </w:r>
          </w:p>
        </w:tc>
      </w:tr>
    </w:tbl>
    <w:p>
      <w:pPr>
        <w:spacing w:before="260"/>
      </w:pPr>
    </w:p>
    <w:p>
      <w:pPr>
        <w:spacing w:after="40"/>
        <w:jc w:val="center"/>
      </w:pPr>
      <w:r>
        <w:rPr>
          <w:rFonts w:ascii="Century Gothic" w:cs="Century Gothic" w:eastAsia="Century Gothic" w:hAnsi="Century Gothic"/>
          <w:b/>
          <w:bCs/>
          <w:color w:val="8F4763"/>
          <w:spacing w:val="6"/>
          <w:sz w:val="46"/>
          <w:szCs w:val="46"/>
        </w:rPr>
        <w:t xml:space="preserve">A2Z MOVE MANAGEMENT</w:t>
      </w:r>
    </w:p>
    <w:p>
      <w:pPr>
        <w:spacing w:after="220"/>
        <w:jc w:val="center"/>
      </w:pPr>
      <w:r>
        <w:rPr>
          <w:rFonts w:ascii="Calibri" w:cs="Calibri" w:eastAsia="Calibri" w:hAnsi="Calibri"/>
          <w:b/>
          <w:bCs/>
          <w:color w:val="8F4763"/>
          <w:spacing w:val="8"/>
          <w:sz w:val="14"/>
          <w:szCs w:val="14"/>
          <w:shd w:fill="FBF3F6" w:val="clear"/>
        </w:rPr>
        <w:t xml:space="preserve">  LLC  ·  MOVE MANAGEMENT  ·  MIAMI, FL  </w:t>
      </w:r>
    </w:p>
    <w:p>
      <w:pPr>
        <w:spacing w:after="10"/>
        <w:jc w:val="center"/>
      </w:pPr>
      <w:r>
        <w:rPr>
          <w:rFonts w:ascii="Century Gothic" w:cs="Century Gothic" w:eastAsia="Century Gothic" w:hAnsi="Century Gothic"/>
          <w:b/>
          <w:bCs/>
          <w:color w:val="2B2B2B"/>
          <w:sz w:val="32"/>
          <w:szCs w:val="32"/>
        </w:rPr>
        <w:t xml:space="preserve">RATE INCLUSIONS &amp; EXCLUSIONS</w:t>
      </w:r>
    </w:p>
    <w:p>
      <w:pPr>
        <w:spacing w:after="220"/>
        <w:jc w:val="center"/>
      </w:pPr>
      <w:r>
        <w:rPr>
          <w:rFonts w:ascii="Calibri" w:cs="Calibri" w:eastAsia="Calibri" w:hAnsi="Calibri"/>
          <w:b/>
          <w:bCs/>
          <w:color w:val="B25A79"/>
          <w:spacing w:val="4"/>
          <w:sz w:val="16"/>
          <w:szCs w:val="16"/>
        </w:rPr>
        <w:t xml:space="preserve">Import Shipments  ·  A guide to what's covered in your quote</w:t>
      </w:r>
    </w:p>
    <w:p>
      <w:pPr>
        <w:spacing w:after="260"/>
        <w:jc w:val="center"/>
      </w:pPr>
      <w:r>
        <w:rPr>
          <w:rFonts w:ascii="Calibri" w:cs="Calibri" w:eastAsia="Calibri" w:hAnsi="Calibri"/>
          <w:b/>
          <w:bCs/>
          <w:color w:val="FFFFFF"/>
          <w:spacing w:val="8"/>
          <w:sz w:val="15"/>
          <w:szCs w:val="15"/>
          <w:shd w:fill="B25A79" w:val="clear"/>
        </w:rPr>
        <w:t xml:space="preserve">  RATES ARE VALID FOR 30 DAYS FROM QUOTE DATE  </w:t>
      </w:r>
    </w:p>
    <w:p>
      <w:pPr>
        <w:spacing w:after="16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4C8563"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01</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What's Included in Your Rate</w:t>
            </w:r>
          </w:p>
        </w:tc>
      </w:tr>
    </w:tbl>
    <w:p>
      <w:pPr>
        <w:spacing w:after="140"/>
      </w:pPr>
    </w:p>
    <w:p>
      <w:pPr>
        <w:spacing w:after="200" w:before="140" w:line="276"/>
      </w:pPr>
      <w:r>
        <w:rPr>
          <w:rFonts w:ascii="Calibri" w:cs="Calibri" w:eastAsia="Calibri" w:hAnsi="Calibri"/>
          <w:i/>
          <w:iCs/>
          <w:color w:val="6E6E6E"/>
          <w:sz w:val="19"/>
          <w:szCs w:val="19"/>
        </w:rPr>
        <w:t xml:space="preserve">The good news first — here's everything that's already covered in the quoted rate, no surprises:</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0F6F2" w:val="clear"/>
            <w:tcMar>
              <w:top w:type="dxa" w:w="180"/>
              <w:left w:type="dxa" w:w="280"/>
              <w:bottom w:type="dxa" w:w="180"/>
              <w:right w:type="dxa" w:w="280"/>
            </w:tcMar>
          </w:tcPr>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Customs Clearance</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Road trucking to destination</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Unloading up to the 2nd level, with normal access</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Standard assembly and unwrapping of furniture that doesn't require 3rd-party service</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Box unpacking onto the first flat surface</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Removal of debris on the same day of delivery</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Return of the empty container to the terminal</w:t>
            </w:r>
          </w:p>
        </w:tc>
      </w:tr>
    </w:tbl>
    <w:p>
      <w:pPr>
        <w:spacing w:after="2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02</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What's Not Included (Rate Excludes)</w:t>
            </w:r>
          </w:p>
        </w:tc>
      </w:tr>
    </w:tbl>
    <w:p>
      <w:pPr>
        <w:spacing w:after="140"/>
      </w:pPr>
    </w:p>
    <w:p>
      <w:pPr>
        <w:spacing w:after="200" w:before="140" w:line="276"/>
      </w:pPr>
      <w:r>
        <w:rPr>
          <w:rFonts w:ascii="Calibri" w:cs="Calibri" w:eastAsia="Calibri" w:hAnsi="Calibri"/>
          <w:i/>
          <w:iCs/>
          <w:color w:val="6E6E6E"/>
          <w:sz w:val="19"/>
          <w:szCs w:val="19"/>
        </w:rPr>
        <w:t xml:space="preserve">These items are outside the base rate. Most only apply if they're relevant to your specific shipment — we'll always flag them ahead of time.</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FFFFF" w:val="clear"/>
            <w:tcMar>
              <w:top w:type="dxa" w:w="180"/>
              <w:left w:type="dxa" w:w="280"/>
              <w:bottom w:type="dxa" w:w="180"/>
              <w:right w:type="dxa" w:w="280"/>
            </w:tcMar>
          </w:tcPr>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Duties, taxes, and VAT (if any)</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Port rent, demurrage, detention, and other random port charges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All 3rd-party services (carpenters, electricians, handymen, maids)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Assembly of kit-type furniture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Warehouse handling and temporary storage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Stairs, elevator, and long carries; delivery above the 2nd level or with difficult access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Extra delivery locations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Handling of large, bulky items such as safes and pianos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Shuttle service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Pickup of debris after delivery day</w:t>
            </w:r>
          </w:p>
          <w:p>
            <w:pPr>
              <w:tabs>
                <w:tab w:val="right" w:pos="10140" w:leader="dot"/>
              </w:tabs>
              <w:spacing w:after="90" w:line="264"/>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Customs exam, if required by customs authority</w:t>
            </w:r>
            <w:r>
              <w:rPr>
                <w:sz w:val="19"/>
                <w:szCs w:val="19"/>
              </w:rPr>
              <w:t xml:space="preserve">	</w:t>
            </w:r>
            <w:r>
              <w:rPr>
                <w:rFonts w:ascii="Calibri" w:cs="Calibri" w:eastAsia="Calibri" w:hAnsi="Calibri"/>
                <w:b/>
                <w:bCs/>
                <w:color w:val="8F4763"/>
                <w:sz w:val="19"/>
                <w:szCs w:val="19"/>
              </w:rPr>
              <w:t xml:space="preserve">≈ $260.00</w:t>
            </w:r>
          </w:p>
          <w:p>
            <w:pPr>
              <w:tabs>
                <w:tab w:val="right" w:pos="10140" w:leader="dot"/>
              </w:tabs>
              <w:spacing w:after="90" w:line="264"/>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Pier charge — California ports only</w:t>
            </w:r>
            <w:r>
              <w:rPr>
                <w:sz w:val="19"/>
                <w:szCs w:val="19"/>
              </w:rPr>
              <w:t xml:space="preserve">	</w:t>
            </w:r>
            <w:r>
              <w:rPr>
                <w:rFonts w:ascii="Calibri" w:cs="Calibri" w:eastAsia="Calibri" w:hAnsi="Calibri"/>
                <w:b/>
                <w:bCs/>
                <w:color w:val="8F4763"/>
                <w:sz w:val="19"/>
                <w:szCs w:val="19"/>
              </w:rPr>
              <w:t xml:space="preserve">≈ $140.00</w:t>
            </w:r>
          </w:p>
          <w:p>
            <w:pPr>
              <w:tabs>
                <w:tab w:val="right" w:pos="10140" w:leader="dot"/>
              </w:tabs>
              <w:spacing w:after="90" w:line="264"/>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Uncrating</w:t>
            </w:r>
            <w:r>
              <w:rPr>
                <w:sz w:val="19"/>
                <w:szCs w:val="19"/>
              </w:rPr>
              <w:t xml:space="preserve">	</w:t>
            </w:r>
            <w:r>
              <w:rPr>
                <w:rFonts w:ascii="Calibri" w:cs="Calibri" w:eastAsia="Calibri" w:hAnsi="Calibri"/>
                <w:b/>
                <w:bCs/>
                <w:color w:val="8F4763"/>
                <w:sz w:val="19"/>
                <w:szCs w:val="19"/>
              </w:rPr>
              <w:t xml:space="preserve">$40 / crate</w:t>
            </w:r>
          </w:p>
          <w:p>
            <w:pPr>
              <w:tabs>
                <w:tab w:val="right" w:pos="10140" w:leader="dot"/>
              </w:tabs>
              <w:spacing w:after="90" w:line="264"/>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Full unpacking / maid service (placing items in drawers) — ask for a rate</w:t>
            </w:r>
            <w:r>
              <w:rPr>
                <w:sz w:val="19"/>
                <w:szCs w:val="19"/>
              </w:rPr>
              <w:t xml:space="preserve">	</w:t>
            </w:r>
            <w:r>
              <w:rPr>
                <w:rFonts w:ascii="Calibri" w:cs="Calibri" w:eastAsia="Calibri" w:hAnsi="Calibri"/>
                <w:b/>
                <w:bCs/>
                <w:color w:val="8F4763"/>
                <w:sz w:val="19"/>
                <w:szCs w:val="19"/>
              </w:rPr>
              <w:t xml:space="preserve">on request</w:t>
            </w:r>
          </w:p>
        </w:tc>
      </w:tr>
    </w:tbl>
    <w:p>
      <w:pPr>
        <w:spacing w:after="16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30"/>
        <w:gridCol w:w="10670"/>
      </w:tblGrid>
      <w:tr>
        <w:tc>
          <w:tcPr>
            <w:tcW w:type="dxa" w:w="130"/>
            <w:shd w:fill="B25A79" w:val="clear"/>
          </w:tcPr>
          <w:p>
            <w:r>
              <w:t xml:space="preserve"/>
            </w:r>
          </w:p>
        </w:tc>
        <w:tc>
          <w:tcPr>
            <w:tcW w:type="dxa" w:w="10670"/>
            <w:shd w:fill="FBF3F6" w:val="clear"/>
            <w:tcMar>
              <w:top w:type="dxa" w:w="180"/>
              <w:left w:type="dxa" w:w="260"/>
              <w:bottom w:type="dxa" w:w="180"/>
              <w:right w:type="dxa" w:w="260"/>
            </w:tcMar>
          </w:tcPr>
          <w:p>
            <w:pPr>
              <w:spacing w:after="100"/>
            </w:pPr>
            <w:r>
              <w:rPr>
                <w:rFonts w:ascii="Century Gothic" w:cs="Century Gothic" w:eastAsia="Century Gothic" w:hAnsi="Century Gothic"/>
                <w:b/>
                <w:bCs/>
                <w:color w:val="8F4763"/>
                <w:sz w:val="21"/>
                <w:szCs w:val="21"/>
              </w:rPr>
              <w:t xml:space="preserve">Good to know</w:t>
            </w:r>
          </w:p>
          <w:p>
            <w:pPr>
              <w:spacing w:after="70"/>
            </w:pPr>
            <w:r>
              <w:rPr>
                <w:rFonts w:ascii="Calibri" w:cs="Calibri" w:eastAsia="Calibri" w:hAnsi="Calibri"/>
                <w:color w:val="2B2B2B"/>
                <w:sz w:val="18"/>
                <w:szCs w:val="18"/>
              </w:rPr>
              <w:t xml:space="preserve">Please note: shipments originating at the FEC Railroad Ramp may incur an additional chassis-flip fee, estimated at $120–$150.</w:t>
            </w:r>
          </w:p>
          <w:p>
            <w:pPr>
              <w:spacing w:after="70"/>
            </w:pPr>
            <w:r>
              <w:rPr>
                <w:rFonts w:ascii="Calibri" w:cs="Calibri" w:eastAsia="Calibri" w:hAnsi="Calibri"/>
                <w:color w:val="2B2B2B"/>
                <w:sz w:val="18"/>
                <w:szCs w:val="18"/>
              </w:rPr>
              <w:t xml:space="preserve">For any payment A2Z makes on the client's behalf (THC, exams, etc.), a 15% service fee applies (minimum $89).</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03</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Destination Port Charges &amp; Inspections</w:t>
            </w:r>
          </w:p>
        </w:tc>
      </w:tr>
    </w:tbl>
    <w:p>
      <w:pPr>
        <w:spacing w:after="140"/>
      </w:pPr>
    </w:p>
    <w:p>
      <w:pPr>
        <w:spacing w:after="200" w:before="140" w:line="276"/>
      </w:pPr>
      <w:r>
        <w:rPr>
          <w:rFonts w:ascii="Calibri" w:cs="Calibri" w:eastAsia="Calibri" w:hAnsi="Calibri"/>
          <w:i/>
          <w:iCs/>
          <w:color w:val="6E6E6E"/>
          <w:sz w:val="19"/>
          <w:szCs w:val="19"/>
        </w:rPr>
        <w:t xml:space="preserve">These charges come from the port or customs authority, not from A2Z — but since they can affect your total cost, here are typical ranges so nothing catches you off guard. Actual charges vary by port and shipment.</w:t>
      </w:r>
    </w:p>
    <w:p>
      <w:pPr>
        <w:spacing w:after="100" w:before="60"/>
      </w:pPr>
      <w:r>
        <w:rPr>
          <w:rFonts w:ascii="Calibri" w:cs="Calibri" w:eastAsia="Calibri" w:hAnsi="Calibri"/>
          <w:b/>
          <w:bCs/>
          <w:color w:val="8F4763"/>
          <w:sz w:val="19"/>
          <w:szCs w:val="19"/>
        </w:rPr>
        <w:t xml:space="preserve">Destination Terminal Handling Charges (DTHC)</w:t>
      </w:r>
    </w:p>
    <w:p>
      <w:pPr>
        <w:spacing w:after="120"/>
      </w:pPr>
      <w:r>
        <w:rPr>
          <w:rFonts w:ascii="Calibri" w:cs="Calibri" w:eastAsia="Calibri" w:hAnsi="Calibri"/>
          <w:color w:val="2B2B2B"/>
          <w:sz w:val="18"/>
          <w:szCs w:val="18"/>
        </w:rPr>
        <w:t xml:space="preserve">Please prepay DTHC whenever possible. If it isn't prepaid, A2Z will bill it back plus a $75.00 processing fee.</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FFFFF" w:val="clear"/>
            <w:tcMar>
              <w:top w:type="dxa" w:w="180"/>
              <w:left w:type="dxa" w:w="280"/>
              <w:bottom w:type="dxa" w:w="180"/>
              <w:right w:type="dxa" w:w="280"/>
            </w:tcMar>
          </w:tcPr>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LCL</w:t>
            </w:r>
            <w:r>
              <w:rPr>
                <w:sz w:val="18"/>
                <w:szCs w:val="18"/>
              </w:rPr>
              <w:t xml:space="preserve">	</w:t>
            </w:r>
            <w:r>
              <w:rPr>
                <w:rFonts w:ascii="Calibri" w:cs="Calibri" w:eastAsia="Calibri" w:hAnsi="Calibri"/>
                <w:b/>
                <w:bCs/>
                <w:color w:val="8F4763"/>
                <w:sz w:val="18"/>
                <w:szCs w:val="18"/>
              </w:rPr>
              <w:t xml:space="preserve">≈ $50 – $75.00 per CBM (gross)</w:t>
            </w:r>
          </w:p>
          <w:p>
            <w:pPr>
              <w:shd w:fill="FBF3F6" w:val="clea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FCL</w:t>
            </w:r>
            <w:r>
              <w:rPr>
                <w:sz w:val="18"/>
                <w:szCs w:val="18"/>
              </w:rPr>
              <w:t xml:space="preserve">	</w:t>
            </w:r>
            <w:r>
              <w:rPr>
                <w:rFonts w:ascii="Calibri" w:cs="Calibri" w:eastAsia="Calibri" w:hAnsi="Calibri"/>
                <w:b/>
                <w:bCs/>
                <w:color w:val="8F4763"/>
                <w:sz w:val="18"/>
                <w:szCs w:val="18"/>
              </w:rPr>
              <w:t xml:space="preserve">≈ $400 – $850</w:t>
            </w:r>
          </w:p>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NVOCC fee (if not a direct carrier)</w:t>
            </w:r>
            <w:r>
              <w:rPr>
                <w:sz w:val="18"/>
                <w:szCs w:val="18"/>
              </w:rPr>
              <w:t xml:space="preserve">	</w:t>
            </w:r>
            <w:r>
              <w:rPr>
                <w:rFonts w:ascii="Calibri" w:cs="Calibri" w:eastAsia="Calibri" w:hAnsi="Calibri"/>
                <w:b/>
                <w:bCs/>
                <w:color w:val="8F4763"/>
                <w:sz w:val="18"/>
                <w:szCs w:val="18"/>
              </w:rPr>
              <w:t xml:space="preserve">$150 – $250</w:t>
            </w:r>
          </w:p>
          <w:p>
            <w:pPr>
              <w:shd w:fill="FBF3F6" w:val="clea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Air shipments</w:t>
            </w:r>
            <w:r>
              <w:rPr>
                <w:sz w:val="18"/>
                <w:szCs w:val="18"/>
              </w:rPr>
              <w:t xml:space="preserve">	</w:t>
            </w:r>
            <w:r>
              <w:rPr>
                <w:rFonts w:ascii="Calibri" w:cs="Calibri" w:eastAsia="Calibri" w:hAnsi="Calibri"/>
                <w:b/>
                <w:bCs/>
                <w:color w:val="8F4763"/>
                <w:sz w:val="18"/>
                <w:szCs w:val="18"/>
              </w:rPr>
              <w:t xml:space="preserve">≈ $50 – $75.00</w:t>
            </w:r>
          </w:p>
        </w:tc>
      </w:tr>
    </w:tbl>
    <w:p>
      <w:pPr>
        <w:spacing w:after="200"/>
      </w:pPr>
    </w:p>
    <w:p>
      <w:pPr>
        <w:spacing w:after="100" w:before="60"/>
      </w:pPr>
      <w:r>
        <w:rPr>
          <w:rFonts w:ascii="Calibri" w:cs="Calibri" w:eastAsia="Calibri" w:hAnsi="Calibri"/>
          <w:b/>
          <w:bCs/>
          <w:color w:val="8F4763"/>
          <w:sz w:val="19"/>
          <w:szCs w:val="19"/>
        </w:rPr>
        <w:t xml:space="preserve">X-Ray Exam (if applicable)</w:t>
      </w:r>
    </w:p>
    <w:p>
      <w:pPr>
        <w:spacing w:after="120"/>
      </w:pPr>
      <w:r>
        <w:rPr>
          <w:rFonts w:ascii="Calibri" w:cs="Calibri" w:eastAsia="Calibri" w:hAnsi="Calibri"/>
          <w:color w:val="2B2B2B"/>
          <w:sz w:val="18"/>
          <w:szCs w:val="18"/>
        </w:rPr>
        <w:t xml:space="preserve">If customs selects your shipment for an X-ray exam, A2Z will bill it back plus a $75.00 fee. Estimated costs:</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FFFFF" w:val="clear"/>
            <w:tcMar>
              <w:top w:type="dxa" w:w="180"/>
              <w:left w:type="dxa" w:w="280"/>
              <w:bottom w:type="dxa" w:w="180"/>
              <w:right w:type="dxa" w:w="280"/>
            </w:tcMar>
          </w:tcPr>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20' container</w:t>
            </w:r>
            <w:r>
              <w:rPr>
                <w:sz w:val="18"/>
                <w:szCs w:val="18"/>
              </w:rPr>
              <w:t xml:space="preserve">	</w:t>
            </w:r>
            <w:r>
              <w:rPr>
                <w:rFonts w:ascii="Calibri" w:cs="Calibri" w:eastAsia="Calibri" w:hAnsi="Calibri"/>
                <w:b/>
                <w:bCs/>
                <w:color w:val="8F4763"/>
                <w:sz w:val="18"/>
                <w:szCs w:val="18"/>
              </w:rPr>
              <w:t xml:space="preserve">$600 – $850</w:t>
            </w:r>
          </w:p>
          <w:p>
            <w:pPr>
              <w:shd w:fill="FBF3F6" w:val="clea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40' container</w:t>
            </w:r>
            <w:r>
              <w:rPr>
                <w:sz w:val="18"/>
                <w:szCs w:val="18"/>
              </w:rPr>
              <w:t xml:space="preserve">	</w:t>
            </w:r>
            <w:r>
              <w:rPr>
                <w:rFonts w:ascii="Calibri" w:cs="Calibri" w:eastAsia="Calibri" w:hAnsi="Calibri"/>
                <w:b/>
                <w:bCs/>
                <w:color w:val="8F4763"/>
                <w:sz w:val="18"/>
                <w:szCs w:val="18"/>
              </w:rPr>
              <w:t xml:space="preserve">$800 – $1,200</w:t>
            </w:r>
          </w:p>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Small LCL shipment</w:t>
            </w:r>
            <w:r>
              <w:rPr>
                <w:sz w:val="18"/>
                <w:szCs w:val="18"/>
              </w:rPr>
              <w:t xml:space="preserve">	</w:t>
            </w:r>
            <w:r>
              <w:rPr>
                <w:rFonts w:ascii="Calibri" w:cs="Calibri" w:eastAsia="Calibri" w:hAnsi="Calibri"/>
                <w:b/>
                <w:bCs/>
                <w:color w:val="8F4763"/>
                <w:sz w:val="18"/>
                <w:szCs w:val="18"/>
              </w:rPr>
              <w:t xml:space="preserve">$150 – $250</w:t>
            </w:r>
          </w:p>
        </w:tc>
      </w:tr>
    </w:tbl>
    <w:p>
      <w:pPr>
        <w:spacing w:after="200"/>
      </w:pPr>
    </w:p>
    <w:p>
      <w:pPr>
        <w:spacing w:after="100" w:before="60"/>
      </w:pPr>
      <w:r>
        <w:rPr>
          <w:rFonts w:ascii="Calibri" w:cs="Calibri" w:eastAsia="Calibri" w:hAnsi="Calibri"/>
          <w:b/>
          <w:bCs/>
          <w:color w:val="8F4763"/>
          <w:sz w:val="19"/>
          <w:szCs w:val="19"/>
        </w:rPr>
        <w:t xml:space="preserve">Access Limitations</w:t>
      </w:r>
    </w:p>
    <w:p>
      <w:pPr>
        <w:spacing w:after="100"/>
      </w:pPr>
      <w:r>
        <w:rPr>
          <w:rFonts w:ascii="Calibri" w:cs="Calibri" w:eastAsia="Calibri" w:hAnsi="Calibri"/>
          <w:color w:val="2B2B2B"/>
          <w:sz w:val="18"/>
          <w:szCs w:val="18"/>
        </w:rPr>
        <w:t xml:space="preserve">The base rate assumes normal access — no stairs or elevator above the 1st floor. If your residence needs any of the below, additional fees apply (see Section 05):</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FFFFF" w:val="clear"/>
            <w:tcMar>
              <w:top w:type="dxa" w:w="180"/>
              <w:left w:type="dxa" w:w="280"/>
              <w:bottom w:type="dxa" w:w="180"/>
              <w:right w:type="dxa" w:w="280"/>
            </w:tcMar>
          </w:tcPr>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Stair or elevator carry</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Long carry</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Shuttle service</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04</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Additional Exclusions</w:t>
            </w:r>
          </w:p>
        </w:tc>
      </w:tr>
    </w:tbl>
    <w:p>
      <w:pPr>
        <w:spacing w:after="140"/>
      </w:pPr>
    </w:p>
    <w:p>
      <w:pPr>
        <w:spacing w:after="200" w:before="140" w:line="276"/>
      </w:pPr>
      <w:r>
        <w:rPr>
          <w:rFonts w:ascii="Calibri" w:cs="Calibri" w:eastAsia="Calibri" w:hAnsi="Calibri"/>
          <w:i/>
          <w:iCs/>
          <w:color w:val="6E6E6E"/>
          <w:sz w:val="19"/>
          <w:szCs w:val="19"/>
        </w:rPr>
        <w:t xml:space="preserve">A general reference list of other items not covered by the base rate:</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0"/>
        <w:gridCol w:w="300"/>
        <w:gridCol w:w="5250"/>
      </w:tblGrid>
      <w:tr>
        <w:tc>
          <w:tcPr>
            <w:tcW w:type="dxa" w:w="5250"/>
            <w:tcBorders>
              <w:top w:val="single" w:color="E7DDE2" w:sz="4"/>
              <w:left w:val="single" w:color="E7DDE2" w:sz="4"/>
              <w:bottom w:val="single" w:color="E7DDE2" w:sz="4"/>
              <w:right w:val="single" w:color="E7DDE2" w:sz="4"/>
            </w:tcBorders>
            <w:tcMar>
              <w:top w:type="dxa" w:w="160"/>
              <w:left w:type="dxa" w:w="200"/>
              <w:bottom w:type="dxa" w:w="160"/>
              <w:right w:type="dxa" w:w="200"/>
            </w:tcMar>
          </w:tcPr>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Insurance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International wire charges ($45)</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Port DTHC (Destination Terminal Handling Charges)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X-ray exams / inspections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Duties and taxes (items owned over one year are typically exempt)</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Customs clearance fees for new furniture or personal effects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Demurrage and per-diem charges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FCL chassis rental, if not provided by the steamship line ($50–$75/day, 2-day minimum)</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Extra stops and overweight shipments</w:t>
            </w:r>
          </w:p>
        </w:tc>
        <w:tc>
          <w:tcPr>
            <w:tcW w:type="dxa" w:w="300"/>
            <w:tcBorders>
              <w:top w:val="none" w:color="FFFFFF" w:sz="0"/>
              <w:left w:val="none" w:color="FFFFFF" w:sz="0"/>
              <w:bottom w:val="none" w:color="FFFFFF" w:sz="0"/>
              <w:right w:val="none" w:color="FFFFFF" w:sz="0"/>
            </w:tcBorders>
          </w:tcPr>
          <w:p>
            <w:r>
              <w:t xml:space="preserve"/>
            </w:r>
          </w:p>
        </w:tc>
        <w:tc>
          <w:tcPr>
            <w:tcW w:type="dxa" w:w="5250"/>
            <w:tcBorders>
              <w:top w:val="single" w:color="E7DDE2" w:sz="4"/>
              <w:left w:val="single" w:color="E7DDE2" w:sz="4"/>
              <w:bottom w:val="single" w:color="E7DDE2" w:sz="4"/>
              <w:right w:val="single" w:color="E7DDE2" w:sz="4"/>
            </w:tcBorders>
            <w:tcMar>
              <w:top w:type="dxa" w:w="160"/>
              <w:left w:type="dxa" w:w="200"/>
              <w:bottom w:type="dxa" w:w="160"/>
              <w:right w:type="dxa" w:w="200"/>
            </w:tcMar>
          </w:tcPr>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Hoisting of bulky items (e.g., safes, jacuzzis, pianos)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3rd-party services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Reassembly of complex furniture (e.g., IKEA, modular, gym equipment, bunk beds, swings)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Uncrating of oversized crates (please advise us in advance)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Storage and handling fees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Unpacking of PBOs (packed-by-owner boxes)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Tolls and parking permits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Overtime delivery (after hours, weekends, holidays)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Maid services</w:t>
            </w:r>
          </w:p>
        </w:tc>
      </w:tr>
    </w:tbl>
    <w:p>
      <w:pPr>
        <w:spacing w:after="2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05</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Optional Fees — Based on Access to the Residence</w:t>
            </w:r>
          </w:p>
        </w:tc>
      </w:tr>
    </w:tbl>
    <w:p>
      <w:pPr>
        <w:spacing w:after="140"/>
      </w:pPr>
    </w:p>
    <w:p>
      <w:pPr>
        <w:spacing w:after="200" w:before="140" w:line="276"/>
      </w:pPr>
      <w:r>
        <w:rPr>
          <w:rFonts w:ascii="Calibri" w:cs="Calibri" w:eastAsia="Calibri" w:hAnsi="Calibri"/>
          <w:i/>
          <w:iCs/>
          <w:color w:val="6E6E6E"/>
          <w:sz w:val="19"/>
          <w:szCs w:val="19"/>
        </w:rPr>
        <w:t xml:space="preserve">If your home needs any of the following, here's exactly what each service costs:</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FFFFF" w:val="clear"/>
            <w:tcMar>
              <w:top w:type="dxa" w:w="180"/>
              <w:left w:type="dxa" w:w="280"/>
              <w:bottom w:type="dxa" w:w="180"/>
              <w:right w:type="dxa" w:w="280"/>
            </w:tcMar>
          </w:tcPr>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Stairs carry — per flight, 2nd floor and above (min. $75)</w:t>
            </w:r>
            <w:r>
              <w:rPr>
                <w:sz w:val="18"/>
                <w:szCs w:val="18"/>
              </w:rPr>
              <w:t xml:space="preserve">	</w:t>
            </w:r>
            <w:r>
              <w:rPr>
                <w:rFonts w:ascii="Calibri" w:cs="Calibri" w:eastAsia="Calibri" w:hAnsi="Calibri"/>
                <w:b/>
                <w:bCs/>
                <w:color w:val="8F4763"/>
                <w:sz w:val="18"/>
                <w:szCs w:val="18"/>
              </w:rPr>
              <w:t xml:space="preserve">$3.50 / 100 lbs</w:t>
            </w:r>
          </w:p>
          <w:p>
            <w:pPr>
              <w:shd w:fill="FBF3F6" w:val="clea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Elevator fee (min. $75)</w:t>
            </w:r>
            <w:r>
              <w:rPr>
                <w:sz w:val="18"/>
                <w:szCs w:val="18"/>
              </w:rPr>
              <w:t xml:space="preserve">	</w:t>
            </w:r>
            <w:r>
              <w:rPr>
                <w:rFonts w:ascii="Calibri" w:cs="Calibri" w:eastAsia="Calibri" w:hAnsi="Calibri"/>
                <w:b/>
                <w:bCs/>
                <w:color w:val="8F4763"/>
                <w:sz w:val="18"/>
                <w:szCs w:val="18"/>
              </w:rPr>
              <w:t xml:space="preserve">$3.50 / 100 lbs</w:t>
            </w:r>
          </w:p>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Long carry — over 75 feet, per additional 100 feet</w:t>
            </w:r>
            <w:r>
              <w:rPr>
                <w:sz w:val="18"/>
                <w:szCs w:val="18"/>
              </w:rPr>
              <w:t xml:space="preserve">	</w:t>
            </w:r>
            <w:r>
              <w:rPr>
                <w:rFonts w:ascii="Calibri" w:cs="Calibri" w:eastAsia="Calibri" w:hAnsi="Calibri"/>
                <w:b/>
                <w:bCs/>
                <w:color w:val="8F4763"/>
                <w:sz w:val="18"/>
                <w:szCs w:val="18"/>
              </w:rPr>
              <w:t xml:space="preserve">$3.50 / 100 lbs</w:t>
            </w:r>
          </w:p>
          <w:p>
            <w:pPr>
              <w:shd w:fill="FBF3F6" w:val="clea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Shuttle service — in/out</w:t>
            </w:r>
            <w:r>
              <w:rPr>
                <w:sz w:val="18"/>
                <w:szCs w:val="18"/>
              </w:rPr>
              <w:t xml:space="preserve">	</w:t>
            </w:r>
            <w:r>
              <w:rPr>
                <w:rFonts w:ascii="Calibri" w:cs="Calibri" w:eastAsia="Calibri" w:hAnsi="Calibri"/>
                <w:b/>
                <w:bCs/>
                <w:color w:val="8F4763"/>
                <w:sz w:val="18"/>
                <w:szCs w:val="18"/>
              </w:rPr>
              <w:t xml:space="preserve">$8.00 / 100 lbs</w:t>
            </w:r>
          </w:p>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Extra delivery — per location, up to 5 miles from destination</w:t>
            </w:r>
            <w:r>
              <w:rPr>
                <w:sz w:val="18"/>
                <w:szCs w:val="18"/>
              </w:rPr>
              <w:t xml:space="preserve">	</w:t>
            </w:r>
            <w:r>
              <w:rPr>
                <w:rFonts w:ascii="Calibri" w:cs="Calibri" w:eastAsia="Calibri" w:hAnsi="Calibri"/>
                <w:b/>
                <w:bCs/>
                <w:color w:val="8F4763"/>
                <w:sz w:val="18"/>
                <w:szCs w:val="18"/>
              </w:rPr>
              <w:t xml:space="preserve">$250.00</w:t>
            </w:r>
          </w:p>
          <w:p>
            <w:pPr>
              <w:shd w:fill="FBF3F6" w:val="clea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Storage</w:t>
            </w:r>
            <w:r>
              <w:rPr>
                <w:sz w:val="18"/>
                <w:szCs w:val="18"/>
              </w:rPr>
              <w:t xml:space="preserve">	</w:t>
            </w:r>
            <w:r>
              <w:rPr>
                <w:rFonts w:ascii="Calibri" w:cs="Calibri" w:eastAsia="Calibri" w:hAnsi="Calibri"/>
                <w:b/>
                <w:bCs/>
                <w:color w:val="8F4763"/>
                <w:sz w:val="18"/>
                <w:szCs w:val="18"/>
              </w:rPr>
              <w:t xml:space="preserve">$8.00 / 100 lbs</w:t>
            </w:r>
          </w:p>
          <w:p>
            <w:pPr>
              <w:tabs>
                <w:tab w:val="right" w:pos="10400" w:leader="dot"/>
              </w:tabs>
              <w:spacing w:after="80" w:before="80"/>
            </w:pPr>
            <w:r>
              <w:rPr>
                <w:rFonts w:ascii="Calibri" w:cs="Calibri" w:eastAsia="Calibri" w:hAnsi="Calibri"/>
                <w:b/>
                <w:bCs/>
                <w:color w:val="B25A79"/>
                <w:sz w:val="18"/>
                <w:szCs w:val="18"/>
              </w:rPr>
              <w:t xml:space="preserve">›  </w:t>
            </w:r>
            <w:r>
              <w:rPr>
                <w:rFonts w:ascii="Calibri" w:cs="Calibri" w:eastAsia="Calibri" w:hAnsi="Calibri"/>
                <w:color w:val="2B2B2B"/>
                <w:sz w:val="18"/>
                <w:szCs w:val="18"/>
              </w:rPr>
              <w:t xml:space="preserve">Uncrating</w:t>
            </w:r>
            <w:r>
              <w:rPr>
                <w:sz w:val="18"/>
                <w:szCs w:val="18"/>
              </w:rPr>
              <w:t xml:space="preserve">	</w:t>
            </w:r>
            <w:r>
              <w:rPr>
                <w:rFonts w:ascii="Calibri" w:cs="Calibri" w:eastAsia="Calibri" w:hAnsi="Calibri"/>
                <w:b/>
                <w:bCs/>
                <w:color w:val="8F4763"/>
                <w:sz w:val="18"/>
                <w:szCs w:val="18"/>
              </w:rPr>
              <w:t xml:space="preserve">$20.00 / crate</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06</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Documents Required for Import Shipments</w:t>
            </w:r>
          </w:p>
        </w:tc>
      </w:tr>
    </w:tbl>
    <w:p>
      <w:pPr>
        <w:spacing w:after="140"/>
      </w:pPr>
    </w:p>
    <w:p>
      <w:pPr>
        <w:spacing w:after="200" w:before="140" w:line="276"/>
      </w:pPr>
      <w:r>
        <w:rPr>
          <w:rFonts w:ascii="Calibri" w:cs="Calibri" w:eastAsia="Calibri" w:hAnsi="Calibri"/>
          <w:i/>
          <w:iCs/>
          <w:color w:val="6E6E6E"/>
          <w:sz w:val="19"/>
          <w:szCs w:val="19"/>
        </w:rPr>
        <w:t xml:space="preserve">To avoid delays at customs, please have the following ready before your shipment arrives:</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BF3F6" w:val="clear"/>
            <w:tcMar>
              <w:top w:type="dxa" w:w="180"/>
              <w:left w:type="dxa" w:w="280"/>
              <w:bottom w:type="dxa" w:w="180"/>
              <w:right w:type="dxa" w:w="280"/>
            </w:tcMar>
          </w:tcPr>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CBP Form 3299, completed and signed</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Supplemental Declaration</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Power of Attorney</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Clear, legible copy of the shipper's passport</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Clear, legible copy of the visa (if applicable)</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Clear copy of the inventory list, in English</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Importer Security Filing (ISF)</w:t>
            </w:r>
          </w:p>
        </w:tc>
      </w:tr>
    </w:tbl>
    <w:p>
      <w:pPr>
        <w:spacing w:after="2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07</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ISF Filing — Very Important</w:t>
            </w:r>
          </w:p>
        </w:tc>
      </w:tr>
    </w:tbl>
    <w:p>
      <w:pPr>
        <w:spacing w:after="14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30"/>
        <w:gridCol w:w="10670"/>
      </w:tblGrid>
      <w:tr>
        <w:tc>
          <w:tcPr>
            <w:tcW w:type="dxa" w:w="130"/>
            <w:shd w:fill="B25A79" w:val="clear"/>
          </w:tcPr>
          <w:p>
            <w:r>
              <w:t xml:space="preserve"/>
            </w:r>
          </w:p>
        </w:tc>
        <w:tc>
          <w:tcPr>
            <w:tcW w:type="dxa" w:w="10670"/>
            <w:shd w:fill="FBF3F6" w:val="clear"/>
            <w:tcMar>
              <w:top w:type="dxa" w:w="180"/>
              <w:left w:type="dxa" w:w="260"/>
              <w:bottom w:type="dxa" w:w="180"/>
              <w:right w:type="dxa" w:w="260"/>
            </w:tcMar>
          </w:tcPr>
          <w:p>
            <w:pPr>
              <w:spacing w:after="100"/>
            </w:pPr>
            <w:r>
              <w:rPr>
                <w:rFonts w:ascii="Century Gothic" w:cs="Century Gothic" w:eastAsia="Century Gothic" w:hAnsi="Century Gothic"/>
                <w:b/>
                <w:bCs/>
                <w:color w:val="8F4763"/>
                <w:sz w:val="21"/>
                <w:szCs w:val="21"/>
              </w:rPr>
              <w:t xml:space="preserve">Please read before your shipment departs</w:t>
            </w:r>
          </w:p>
          <w:p>
            <w:pPr>
              <w:spacing w:after="70"/>
            </w:pPr>
            <w:r>
              <w:rPr>
                <w:rFonts w:ascii="Calibri" w:cs="Calibri" w:eastAsia="Calibri" w:hAnsi="Calibri"/>
                <w:color w:val="2B2B2B"/>
                <w:sz w:val="18"/>
                <w:szCs w:val="18"/>
              </w:rPr>
              <w:t xml:space="preserve">Use ONLY the official A2Z ISF Form (provided separately).</w:t>
            </w:r>
          </w:p>
          <w:p>
            <w:pPr>
              <w:spacing w:after="70"/>
            </w:pPr>
            <w:r>
              <w:rPr>
                <w:rFonts w:ascii="Calibri" w:cs="Calibri" w:eastAsia="Calibri" w:hAnsi="Calibri"/>
                <w:color w:val="2B2B2B"/>
                <w:sz w:val="18"/>
                <w:szCs w:val="18"/>
              </w:rPr>
              <w:t xml:space="preserve">Failure to file the ISF may result in penalties or shipment rejection by U.S. Customs — any resulting charges are the client's responsibility.</w:t>
            </w:r>
          </w:p>
          <w:p>
            <w:pPr>
              <w:spacing w:after="70"/>
            </w:pPr>
            <w:r>
              <w:rPr>
                <w:rFonts w:ascii="Calibri" w:cs="Calibri" w:eastAsia="Calibri" w:hAnsi="Calibri"/>
                <w:color w:val="2B2B2B"/>
                <w:sz w:val="18"/>
                <w:szCs w:val="18"/>
              </w:rPr>
              <w:t xml:space="preserve">Late Filing Fee: if the ISF is submitted after the vessel's departure, a $100 USD late fee applies, with no exceptions.</w:t>
            </w:r>
          </w:p>
        </w:tc>
      </w:tr>
    </w:tbl>
    <w:p>
      <w:pPr>
        <w:spacing w:after="100" w:before="220"/>
        <w:jc w:val="center"/>
      </w:pPr>
      <w:r>
        <w:rPr>
          <w:color w:val="D9A9BC"/>
          <w:sz w:val="16"/>
          <w:szCs w:val="16"/>
        </w:rPr>
        <w:t xml:space="preserve">————————</w:t>
      </w:r>
    </w:p>
    <w:p>
      <w:pPr>
        <w:jc w:val="center"/>
      </w:pPr>
      <w:r>
        <w:rPr>
          <w:rFonts w:ascii="Calibri" w:cs="Calibri" w:eastAsia="Calibri" w:hAnsi="Calibri"/>
          <w:b/>
          <w:bCs/>
          <w:color w:val="8F4763"/>
          <w:sz w:val="16"/>
          <w:szCs w:val="16"/>
        </w:rPr>
        <w:t xml:space="preserve">A2Z MOVE MANAGEMENT LLC</w:t>
      </w:r>
      <w:r>
        <w:rPr>
          <w:rFonts w:ascii="Calibri" w:cs="Calibri" w:eastAsia="Calibri" w:hAnsi="Calibri"/>
          <w:color w:val="6E6E6E"/>
          <w:sz w:val="16"/>
          <w:szCs w:val="16"/>
        </w:rPr>
        <w:t xml:space="preserve">   •   305-986-6650   •   info@a2zmovemgmt.com   •   www.a2zmovemgmt.com</w:t>
      </w:r>
    </w:p>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400"/>
        <w:gridCol w:w="3240"/>
        <w:gridCol w:w="2160"/>
      </w:tblGrid>
      <w:tr>
        <w:trPr>
          <w:trHeight w:val="90" w:hRule="exact"/>
        </w:trPr>
        <w:tc>
          <w:tcPr>
            <w:tcW w:type="dxa" w:w="5400"/>
            <w:shd w:fill="8F4763" w:val="clear"/>
          </w:tcPr>
          <w:p>
            <w:r>
              <w:t xml:space="preserve"/>
            </w:r>
          </w:p>
        </w:tc>
        <w:tc>
          <w:tcPr>
            <w:tcW w:type="dxa" w:w="3240"/>
            <w:shd w:fill="B25A79" w:val="clear"/>
          </w:tcPr>
          <w:p>
            <w:r>
              <w:t xml:space="preserve"/>
            </w:r>
          </w:p>
        </w:tc>
        <w:tc>
          <w:tcPr>
            <w:tcW w:type="dxa" w:w="2160"/>
            <w:shd w:fill="D9A9BC" w:val="clear"/>
          </w:tcPr>
          <w:p>
            <w:r>
              <w:t xml:space="preserve"/>
            </w:r>
          </w:p>
        </w:tc>
      </w:tr>
    </w:tbl>
    <w:p>
      <w:pPr>
        <w:spacing w:after="200"/>
      </w:pPr>
    </w:p>
    <w:p>
      <w:pPr>
        <w:spacing w:after="10"/>
        <w:jc w:val="center"/>
      </w:pPr>
      <w:r>
        <w:rPr>
          <w:rFonts w:ascii="Century Gothic" w:cs="Century Gothic" w:eastAsia="Century Gothic" w:hAnsi="Century Gothic"/>
          <w:b/>
          <w:bCs/>
          <w:color w:val="2B2B2B"/>
          <w:sz w:val="32"/>
          <w:szCs w:val="32"/>
        </w:rPr>
        <w:t xml:space="preserve">ORIGIN / EXPORT SHIPMENTS</w:t>
      </w:r>
    </w:p>
    <w:p>
      <w:pPr>
        <w:spacing w:after="260"/>
        <w:jc w:val="center"/>
      </w:pPr>
      <w:r>
        <w:rPr>
          <w:rFonts w:ascii="Calibri" w:cs="Calibri" w:eastAsia="Calibri" w:hAnsi="Calibri"/>
          <w:b/>
          <w:bCs/>
          <w:color w:val="B25A79"/>
          <w:spacing w:val="4"/>
          <w:sz w:val="16"/>
          <w:szCs w:val="16"/>
        </w:rPr>
        <w:t xml:space="preserve">EXPORTS FROM THE USA  ·  Inclusions, Exclusions &amp; Required Documentation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4C8563"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08</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What's Included in Your Rate</w:t>
            </w:r>
          </w:p>
        </w:tc>
      </w:tr>
    </w:tbl>
    <w:p>
      <w:pPr>
        <w:spacing w:after="140"/>
      </w:pP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0F6F2" w:val="clear"/>
            <w:tcMar>
              <w:top w:type="dxa" w:w="180"/>
              <w:left w:type="dxa" w:w="280"/>
              <w:bottom w:type="dxa" w:w="180"/>
              <w:right w:type="dxa" w:w="280"/>
            </w:tcMar>
          </w:tcPr>
          <w:p>
            <w:pPr>
              <w:spacing w:after="140" w:line="288"/>
            </w:pPr>
            <w:r>
              <w:rPr>
                <w:rFonts w:ascii="Calibri" w:cs="Calibri" w:eastAsia="Calibri" w:hAnsi="Calibri"/>
                <w:color w:val="2B2B2B"/>
                <w:sz w:val="19"/>
                <w:szCs w:val="19"/>
              </w:rPr>
              <w:t xml:space="preserve">Our comprehensive service features expert packing and specialized protection for delicate items and personal effects, using premium materials tailored to each item's requirements. This service is executed by our highly trained personnel and covers all transportation logistics to ensure a seamless process.</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Export Clearance</w:t>
            </w:r>
          </w:p>
        </w:tc>
      </w:tr>
    </w:tbl>
    <w:p>
      <w:pPr>
        <w:spacing w:after="2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09</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What's Not Included (Rate Excludes)</w:t>
            </w:r>
          </w:p>
        </w:tc>
      </w:tr>
    </w:tbl>
    <w:p>
      <w:pPr>
        <w:spacing w:after="140"/>
      </w:pP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FFFFF" w:val="clear"/>
            <w:tcMar>
              <w:top w:type="dxa" w:w="180"/>
              <w:left w:type="dxa" w:w="280"/>
              <w:bottom w:type="dxa" w:w="180"/>
              <w:right w:type="dxa" w:w="280"/>
            </w:tcMar>
          </w:tcPr>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Piano handling</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Pool table handling</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Long carry</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Stairs carry</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Shuttle service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Insurance</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Art Export Permit</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3rd-party services</w:t>
            </w:r>
          </w:p>
          <w:p>
            <w:pPr>
              <w:spacing w:after="90" w:line="264"/>
              <w:ind w:left="260" w:hanging="260"/>
            </w:pPr>
            <w:r>
              <w:rPr>
                <w:rFonts w:ascii="Calibri" w:cs="Calibri" w:eastAsia="Calibri" w:hAnsi="Calibri"/>
                <w:b/>
                <w:bCs/>
                <w:color w:val="B25A79"/>
                <w:sz w:val="19"/>
                <w:szCs w:val="19"/>
              </w:rPr>
              <w:t xml:space="preserve">✗  </w:t>
            </w:r>
            <w:r>
              <w:rPr>
                <w:rFonts w:ascii="Calibri" w:cs="Calibri" w:eastAsia="Calibri" w:hAnsi="Calibri"/>
                <w:color w:val="2B2B2B"/>
                <w:sz w:val="19"/>
                <w:szCs w:val="19"/>
              </w:rPr>
              <w:t xml:space="preserve">Any other service not included in our quotation</w:t>
            </w:r>
          </w:p>
        </w:tc>
      </w:tr>
    </w:tbl>
    <w:p>
      <w:pPr>
        <w:spacing w:after="16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30"/>
        <w:gridCol w:w="10670"/>
      </w:tblGrid>
      <w:tr>
        <w:tc>
          <w:tcPr>
            <w:tcW w:type="dxa" w:w="130"/>
            <w:shd w:fill="B25A79" w:val="clear"/>
          </w:tcPr>
          <w:p>
            <w:r>
              <w:t xml:space="preserve"/>
            </w:r>
          </w:p>
        </w:tc>
        <w:tc>
          <w:tcPr>
            <w:tcW w:type="dxa" w:w="10670"/>
            <w:shd w:fill="FBF3F6" w:val="clear"/>
            <w:tcMar>
              <w:top w:type="dxa" w:w="180"/>
              <w:left w:type="dxa" w:w="260"/>
              <w:bottom w:type="dxa" w:w="180"/>
              <w:right w:type="dxa" w:w="260"/>
            </w:tcMar>
          </w:tcPr>
          <w:p>
            <w:pPr>
              <w:spacing w:after="100"/>
            </w:pPr>
            <w:r>
              <w:rPr>
                <w:rFonts w:ascii="Century Gothic" w:cs="Century Gothic" w:eastAsia="Century Gothic" w:hAnsi="Century Gothic"/>
                <w:b/>
                <w:bCs/>
                <w:color w:val="8F4763"/>
                <w:sz w:val="21"/>
                <w:szCs w:val="21"/>
              </w:rPr>
              <w:t xml:space="preserve">Please note</w:t>
            </w:r>
          </w:p>
          <w:p>
            <w:pPr>
              <w:spacing w:after="70"/>
            </w:pPr>
            <w:r>
              <w:rPr>
                <w:rFonts w:ascii="Calibri" w:cs="Calibri" w:eastAsia="Calibri" w:hAnsi="Calibri"/>
                <w:color w:val="2B2B2B"/>
                <w:sz w:val="18"/>
                <w:szCs w:val="18"/>
              </w:rPr>
              <w:t xml:space="preserve">At the time of acceptance, the client must provide all documentation required for the U.S. customs export process, as well as for the import process in the destination country.</w:t>
            </w:r>
          </w:p>
          <w:p>
            <w:pPr>
              <w:spacing w:after="70"/>
            </w:pPr>
            <w:r>
              <w:rPr>
                <w:rFonts w:ascii="Calibri" w:cs="Calibri" w:eastAsia="Calibri" w:hAnsi="Calibri"/>
                <w:color w:val="2B2B2B"/>
                <w:sz w:val="18"/>
                <w:szCs w:val="18"/>
              </w:rPr>
              <w:t xml:space="preserve">Air freight rates are subject to market fluctuations and may change without prior notice until the booking is confirmed.</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60"/>
        <w:gridCol w:w="10040"/>
      </w:tblGrid>
      <w:tr>
        <w:tc>
          <w:tcPr>
            <w:tcW w:type="dxa" w:w="760"/>
            <w:shd w:fill="B25A79" w:val="clear"/>
            <w:tcMar>
              <w:top w:type="dxa" w:w="60"/>
              <w:bottom w:type="dxa" w:w="60"/>
            </w:tcMar>
            <w:vAlign w:val="center"/>
          </w:tcPr>
          <w:p>
            <w:pPr>
              <w:jc w:val="center"/>
            </w:pPr>
            <w:r>
              <w:rPr>
                <w:rFonts w:ascii="Century Gothic" w:cs="Century Gothic" w:eastAsia="Century Gothic" w:hAnsi="Century Gothic"/>
                <w:b/>
                <w:bCs/>
                <w:color w:val="FFFFFF"/>
                <w:spacing w:val="4"/>
                <w:sz w:val="24"/>
                <w:szCs w:val="24"/>
              </w:rPr>
              <w:t xml:space="preserve">10</w:t>
            </w:r>
          </w:p>
        </w:tc>
        <w:tc>
          <w:tcPr>
            <w:tcW w:type="dxa" w:w="10040"/>
            <w:tcBorders>
              <w:bottom w:val="single" w:color="E7DDE2" w:sz="4"/>
            </w:tcBorders>
            <w:tcMar>
              <w:left w:type="dxa" w:w="220"/>
            </w:tcMar>
            <w:vAlign w:val="center"/>
          </w:tcPr>
          <w:p>
            <w:r>
              <w:rPr>
                <w:rFonts w:ascii="Century Gothic" w:cs="Century Gothic" w:eastAsia="Century Gothic" w:hAnsi="Century Gothic"/>
                <w:b/>
                <w:bCs/>
                <w:color w:val="2B2B2B"/>
                <w:spacing w:val="2"/>
                <w:sz w:val="24"/>
                <w:szCs w:val="24"/>
              </w:rPr>
              <w:t xml:space="preserve">Documents Required for Export Shipments — USA</w:t>
            </w:r>
          </w:p>
        </w:tc>
      </w:tr>
    </w:tbl>
    <w:p>
      <w:pPr>
        <w:spacing w:after="140"/>
      </w:pPr>
    </w:p>
    <w:p>
      <w:pPr>
        <w:spacing w:after="200" w:before="140" w:line="276"/>
      </w:pPr>
      <w:r>
        <w:rPr>
          <w:rFonts w:ascii="Calibri" w:cs="Calibri" w:eastAsia="Calibri" w:hAnsi="Calibri"/>
          <w:i/>
          <w:iCs/>
          <w:color w:val="6E6E6E"/>
          <w:sz w:val="19"/>
          <w:szCs w:val="19"/>
        </w:rPr>
        <w:t xml:space="preserve">To avoid delays with U.S. Customs and export compliance, please have the following ready before your shipment is booked.</w:t>
      </w:r>
    </w:p>
    <w:tbl>
      <w:tblPr>
        <w:tblW w:type="dxa" w:w="10800"/>
        <w:tblBorders>
          <w:top w:val="single" w:color="E7DDE2" w:sz="4"/>
          <w:left w:val="single" w:color="E7DDE2" w:sz="4"/>
          <w:bottom w:val="single" w:color="E7DDE2" w:sz="4"/>
          <w:right w:val="single" w:color="E7DDE2" w:sz="4"/>
          <w:insideH w:val="single" w:color="auto" w:sz="4"/>
          <w:insideV w:val="single" w:color="auto" w:sz="4"/>
        </w:tblBorders>
        <w:tblLayout w:type="fixed"/>
      </w:tblPr>
      <w:tblGrid>
        <w:gridCol w:w="10800"/>
      </w:tblGrid>
      <w:tr>
        <w:tc>
          <w:tcPr>
            <w:tcW w:type="dxa" w:w="10800"/>
            <w:shd w:fill="FBF3F6" w:val="clear"/>
            <w:tcMar>
              <w:top w:type="dxa" w:w="180"/>
              <w:left w:type="dxa" w:w="280"/>
              <w:bottom w:type="dxa" w:w="180"/>
              <w:right w:type="dxa" w:w="280"/>
            </w:tcMar>
          </w:tcPr>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Power of Attorney (POA) — authorizing A2Z / our licensed freight forwarder to file export documentation on the client's behalf</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Shipper's Letter of Instruction (SLI) — provides the export data needed to file on the client's behalf</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Electronic Export Information (EEI), filed through the Automated Export System (AES) — mandatory whenever the shipment's value exceeds $2,500 (replaces the former paper Shipper's Export Declaration / SED)</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Detailed, descriptive packing list / inventory of the household goods</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Valid passport or government-issued photo ID of the shipper</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Bill of Lading (B/L) or Air Waybill (AWB), depending on the mode of transport</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ISPM-15 certification (heat-treated stamp) for wooden crates, liftvans, or pallets</w:t>
            </w:r>
          </w:p>
          <w:p>
            <w:pPr>
              <w:spacing w:after="90" w:line="264"/>
              <w:ind w:left="260" w:hanging="260"/>
            </w:pPr>
            <w:r>
              <w:rPr>
                <w:rFonts w:ascii="Calibri" w:cs="Calibri" w:eastAsia="Calibri" w:hAnsi="Calibri"/>
                <w:b/>
                <w:bCs/>
                <w:color w:val="4C8563"/>
                <w:sz w:val="19"/>
                <w:szCs w:val="19"/>
              </w:rPr>
              <w:t xml:space="preserve">✓  </w:t>
            </w:r>
            <w:r>
              <w:rPr>
                <w:rFonts w:ascii="Calibri" w:cs="Calibri" w:eastAsia="Calibri" w:hAnsi="Calibri"/>
                <w:color w:val="2B2B2B"/>
                <w:sz w:val="19"/>
                <w:szCs w:val="19"/>
              </w:rPr>
              <w:t xml:space="preserve">Any import permits or documentation required by the destination country (as advised by our destination agent)</w:t>
            </w:r>
          </w:p>
        </w:tc>
      </w:tr>
    </w:tbl>
    <w:p>
      <w:pPr>
        <w:spacing w:after="160"/>
      </w:pP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30"/>
        <w:gridCol w:w="10670"/>
      </w:tblGrid>
      <w:tr>
        <w:tc>
          <w:tcPr>
            <w:tcW w:type="dxa" w:w="130"/>
            <w:shd w:fill="B25A79" w:val="clear"/>
          </w:tcPr>
          <w:p>
            <w:r>
              <w:t xml:space="preserve"/>
            </w:r>
          </w:p>
        </w:tc>
        <w:tc>
          <w:tcPr>
            <w:tcW w:type="dxa" w:w="10670"/>
            <w:shd w:fill="FBF3F6" w:val="clear"/>
            <w:tcMar>
              <w:top w:type="dxa" w:w="180"/>
              <w:left w:type="dxa" w:w="260"/>
              <w:bottom w:type="dxa" w:w="180"/>
              <w:right w:type="dxa" w:w="260"/>
            </w:tcMar>
          </w:tcPr>
          <w:p>
            <w:pPr>
              <w:spacing w:after="100"/>
            </w:pPr>
            <w:r>
              <w:rPr>
                <w:rFonts w:ascii="Century Gothic" w:cs="Century Gothic" w:eastAsia="Century Gothic" w:hAnsi="Century Gothic"/>
                <w:b/>
                <w:bCs/>
                <w:color w:val="8F4763"/>
                <w:sz w:val="21"/>
                <w:szCs w:val="21"/>
              </w:rPr>
              <w:t xml:space="preserve">Good to know</w:t>
            </w:r>
          </w:p>
          <w:p>
            <w:pPr>
              <w:spacing w:after="70"/>
            </w:pPr>
            <w:r>
              <w:rPr>
                <w:rFonts w:ascii="Calibri" w:cs="Calibri" w:eastAsia="Calibri" w:hAnsi="Calibri"/>
                <w:color w:val="2B2B2B"/>
                <w:sz w:val="18"/>
                <w:szCs w:val="18"/>
              </w:rPr>
              <w:t xml:space="preserve">Export filings from the U.S. must go through the Automated Export System (AES); A2Z will coordinate this on your behalf once your Power of Attorney and Shipper's Letter of Instruction are received.</w:t>
            </w:r>
          </w:p>
          <w:p>
            <w:pPr>
              <w:spacing w:after="70"/>
            </w:pPr>
            <w:r>
              <w:rPr>
                <w:rFonts w:ascii="Calibri" w:cs="Calibri" w:eastAsia="Calibri" w:hAnsi="Calibri"/>
                <w:color w:val="2B2B2B"/>
                <w:sz w:val="18"/>
                <w:szCs w:val="18"/>
              </w:rPr>
              <w:t xml:space="preserve">Shipments to Canada are generally exempt from EEI/AES filing, regardless of value.</w:t>
            </w:r>
          </w:p>
          <w:p>
            <w:pPr>
              <w:spacing w:after="70"/>
            </w:pPr>
            <w:r>
              <w:rPr>
                <w:rFonts w:ascii="Calibri" w:cs="Calibri" w:eastAsia="Calibri" w:hAnsi="Calibri"/>
                <w:color w:val="2B2B2B"/>
                <w:sz w:val="18"/>
                <w:szCs w:val="18"/>
              </w:rPr>
              <w:t xml:space="preserve">Regulations are subject to change without notice. This list is provided as general guidance; A2Z will confirm final requirements before booking.</w:t>
            </w:r>
          </w:p>
        </w:tc>
      </w:tr>
    </w:tbl>
    <w:p>
      <w:pPr>
        <w:spacing w:after="100" w:before="220"/>
        <w:jc w:val="center"/>
      </w:pPr>
      <w:r>
        <w:rPr>
          <w:color w:val="D9A9BC"/>
          <w:sz w:val="16"/>
          <w:szCs w:val="16"/>
        </w:rPr>
        <w:t xml:space="preserve">————————</w:t>
      </w:r>
    </w:p>
    <w:p>
      <w:pPr>
        <w:jc w:val="center"/>
      </w:pPr>
      <w:r>
        <w:rPr>
          <w:rFonts w:ascii="Calibri" w:cs="Calibri" w:eastAsia="Calibri" w:hAnsi="Calibri"/>
          <w:b/>
          <w:bCs/>
          <w:color w:val="8F4763"/>
          <w:sz w:val="16"/>
          <w:szCs w:val="16"/>
        </w:rPr>
        <w:t xml:space="preserve">A2Z MOVE MANAGEMENT LLC</w:t>
      </w:r>
      <w:r>
        <w:rPr>
          <w:rFonts w:ascii="Calibri" w:cs="Calibri" w:eastAsia="Calibri" w:hAnsi="Calibri"/>
          <w:color w:val="6E6E6E"/>
          <w:sz w:val="16"/>
          <w:szCs w:val="16"/>
        </w:rPr>
        <w:t xml:space="preserve">   •   305-986-6650   •   info@a2zmovemgmt.com   •   www.a2zmovemgmt.com</w:t>
      </w:r>
    </w:p>
    <w:sectPr>
      <w:pgSz w:w="12240" w:h="15840" w:orient="portrait"/>
      <w:pgMar w:top="600" w:right="720" w:bottom="7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2026-09-24T14:57:21.561Z</dcterms:created>
  <dcterms:modified xsi:type="dcterms:W3CDTF">2026-09-24T14:57:21.570Z</dcterms:modified>
</cp:coreProperties>
</file>

<file path=docProps/custom.xml><?xml version="1.0" encoding="utf-8"?>
<Properties xmlns="http://schemas.openxmlformats.org/officeDocument/2006/custom-properties" xmlns:vt="http://schemas.openxmlformats.org/officeDocument/2006/docPropsVTypes"/>
</file>