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6F0CEB0" w:rsidP="46F0CEB0" w:rsidRDefault="46F0CEB0" w14:paraId="262711D2" w14:textId="0943BC19">
      <w:pPr>
        <w:rPr>
          <w:rFonts w:ascii="Arial" w:hAnsi="Arial" w:eastAsia="Arial" w:cs="Arial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017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46F0CEB0" w:rsidTr="46F0CEB0" w14:paraId="436E96C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FD6D3DD" w14:textId="2FABCCA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</w:pPr>
            <w:r w:rsidRPr="46F0CEB0" w:rsidR="46F0CEB0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  <w:t>Rates include: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92BC366" w14:textId="1FBCB9E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0CAA3D9" w14:textId="69684D34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4E57ADA1" w14:textId="26D7A63F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01E3683" w14:textId="7A95873B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F0F81FA" w14:textId="153FC12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1C11B24" w14:textId="12E39F2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FF1E445" w14:textId="267C792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BE96A51" w14:textId="65F35BD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40AB6153" w14:textId="48A6360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3EF24E4" w14:textId="5F357AC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F0ED8CE" w14:textId="3A4D3B0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3E59947" w14:textId="3B00494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6F0CEB0" w:rsidTr="46F0CEB0" w14:paraId="3F773902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C6B64B3" w14:textId="7F9D294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Normal packing, wrapping, listing, marking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846C729" w14:textId="44C49E6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7BC1AAF" w14:textId="56D1548B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8B105B6" w14:textId="0084961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3A0952A" w14:textId="521A8459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9B99BEC" w14:textId="456378C2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D957756" w14:textId="0D5D09C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507899C" w14:textId="7EF3577B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480ECFB7" w14:textId="6F30CF9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EA54991" w14:textId="66A00B83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B92C06B" w14:textId="13D78C80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DBF6D56" w14:textId="635BC2B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34CD44F" w14:textId="57BE1F28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6F0CEB0" w:rsidTr="46F0CEB0" w14:paraId="0A3961ED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2DC55F0" w14:textId="52A67A1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If FCL or Groupage, collection of empty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containers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.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78732DD" w14:textId="7ED85EA3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8C7F800" w14:textId="3D695288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0CF1EE2" w14:textId="2FEDD78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A5AE1FB" w14:textId="441F8E2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38A3DAB" w14:textId="31F3B240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D461592" w14:textId="40CD8E70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3A545F3" w14:textId="53A6AAD4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F4E9C9C" w14:textId="34C1675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925BEB1" w14:textId="5264827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5155600" w14:textId="0877074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8A00CD0" w14:textId="57494B6F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D8470CF" w14:textId="7D08D99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6F0CEB0" w:rsidTr="46F0CEB0" w14:paraId="5C9F45D3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01BC0A9" w14:textId="274D45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Packing and collection of goods from single “normal Access” residence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EA71E4C" w14:textId="789D3F7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D68E16D" w14:textId="45ADFB1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E4878CB" w14:textId="67C5EB8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7E4355C" w14:textId="7EBD89A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48F29FDA" w14:textId="04674030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FF4820B" w14:textId="3B146574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EBB2AC9" w14:textId="6999C36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0B0E785" w14:textId="4CE4DBC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2234BC4" w14:textId="35E7FA32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B835F56" w14:textId="61C247FF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FE56453" w14:textId="69EBFF43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08CFABA" w14:textId="7AF1B69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6F0CEB0" w:rsidTr="46F0CEB0" w14:paraId="17638E84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9346F44" w14:textId="336783A9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If FCL or Groupage, return of container to the terminal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576E12A" w14:textId="08225E9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5A872B6" w14:textId="28E7B8F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1FD9A51" w14:textId="0E8EB5D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47A88436" w14:textId="03E4B42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C48B347" w14:textId="2F97CF1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51455AD" w14:textId="71F62910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FF77791" w14:textId="6E7171A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3711B13" w14:textId="5CAE6330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361AD85" w14:textId="792F3EC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4A97566" w14:textId="60093B5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4D1293F2" w14:textId="2FC05F6E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FCBFBC3" w14:textId="3A26B3E8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6F0CEB0" w:rsidTr="46F0CEB0" w14:paraId="36C333FB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BE863A6" w14:textId="5A2388F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Delivery of container/consignment to departure port/terminal/airport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05F8DC1" w14:textId="6EC4917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6FE2F85" w14:textId="67FE639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62AF8BC" w14:textId="79418A7A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FD601CA" w14:textId="1763A198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D164A6D" w14:textId="5E350EFF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0AAA22D" w14:textId="4496EC19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115BC14" w14:textId="71C6AE79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433B6DB" w14:textId="00B2E839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CA0C6B4" w14:textId="31CA34D2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58B803E2" w14:textId="1388B8A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187CF6A" w14:textId="5818CBF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287A309" w14:textId="5D7CA502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6F0CEB0" w:rsidTr="46F0CEB0" w14:paraId="1A823E77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7550A0B" w14:textId="75D58AA0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Preparation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 xml:space="preserve"> of all normal documentation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74DE171D" w14:textId="2F00CDA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9F9309B" w14:textId="1105C7E8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4E8BDCDA" w14:textId="171A5A4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834309A" w14:textId="7181805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41F735CE" w14:textId="05A8B22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424CB374" w14:textId="64F807B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A490DDE" w14:textId="08C7C906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707DB04" w14:textId="04CC7B1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B7D68A7" w14:textId="4293F82C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E12984F" w14:textId="67368E04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16B70CA5" w14:textId="0BDBA07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0A8B25B2" w14:textId="7AA61D53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46F0CEB0" w:rsidTr="46F0CEB0" w14:paraId="1D011863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21DC5AF" w14:textId="39335701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19A1DA4D" w14:textId="2D319FD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4C02FF11" w14:textId="3E15173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5F4F3B18" w14:textId="5FBBDADB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3D2DA6CC" w14:textId="2DE5D029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3F2015C3" w14:textId="003F0B9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511FFBB6" w14:textId="6084757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47E110DC" w14:textId="4278DD9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6AE5D64B" w14:textId="0D4C9BD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04A20793" w14:textId="05143E8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298D2E4C" w14:textId="0400764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4262F138" w14:textId="482085B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1E6DE264" w14:textId="6F8FD18B"/>
        </w:tc>
      </w:tr>
      <w:tr w:rsidR="46F0CEB0" w:rsidTr="46F0CEB0" w14:paraId="27312242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3E05653A" w14:textId="1ECEB17F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5C85A3BD" w14:textId="608DB90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29160404" w14:textId="366188A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48EE1258" w14:textId="788112C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674B6A8D" w14:textId="42E168F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31882687" w14:textId="3EDFFF7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1B2E97DC" w14:textId="7225F44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66668B90" w14:textId="1A25F84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1B9628E5" w14:textId="2051929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309C0B42" w14:textId="7C04FBF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3C64E071" w14:textId="1FCAECB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56BEF0E0" w14:textId="4DECF84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0794BA6C" w14:textId="5696AF5D"/>
        </w:tc>
      </w:tr>
      <w:tr w:rsidR="46F0CEB0" w:rsidTr="46F0CEB0" w14:paraId="6DB28BAF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645B7CDF" w14:textId="1F8F3D71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1495B31D" w14:textId="5E5141C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512519D6" w14:textId="2784A22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76895A52" w14:textId="57595EB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6A0FF3F9" w14:textId="0C07365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78EC2071" w14:textId="281EC43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79C13E64" w14:textId="79DEB5C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3DE1EDBF" w14:textId="6194AFF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111B4C1B" w14:textId="1C43EBE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56FA2EDF" w14:textId="4953857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276655DC" w14:textId="5E73ECF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1403A719" w14:textId="2D60E2F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22AB147A" w14:textId="06F3F32E"/>
        </w:tc>
      </w:tr>
      <w:tr w:rsidR="46F0CEB0" w:rsidTr="46F0CEB0" w14:paraId="34455BFE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FA96CD7" w14:textId="594349B0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6126475C" w14:textId="289F179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7DABC887" w14:textId="69F4A60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5A1BE5EB" w14:textId="0380B84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4D487B97" w14:textId="6E91554D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0A47154A" w14:textId="188102A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720357FE" w14:textId="71EEF62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6C6F9A0D" w14:textId="18C795E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702B4F33" w14:textId="795A32F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5E55894B" w14:textId="4D01082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4D5D09DE" w14:textId="0144034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036E6033" w14:textId="2234487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RDefault="46F0CEB0" w14:paraId="6BDB08C2" w14:textId="01C84586"/>
        </w:tc>
      </w:tr>
      <w:tr w:rsidR="46F0CEB0" w:rsidTr="46F0CEB0" w14:paraId="52DEE516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46F0CEB0" w:rsidP="46F0CEB0" w:rsidRDefault="46F0CEB0" w14:paraId="2497153A" w14:textId="5160FFCC">
            <w:pPr>
              <w:spacing w:before="0" w:beforeAutospacing="off" w:after="0" w:afterAutospacing="off"/>
            </w:pPr>
          </w:p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20"/>
              <w:gridCol w:w="345"/>
              <w:gridCol w:w="345"/>
              <w:gridCol w:w="345"/>
            </w:tblGrid>
            <w:tr w:rsidR="46F0CEB0" w:rsidTr="46F0CEB0" w14:paraId="7E6A66B9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40CF137D" w14:textId="509735CB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b w:val="1"/>
                      <w:bCs w:val="1"/>
                      <w:strike w:val="0"/>
                      <w:dstrike w:val="0"/>
                      <w:sz w:val="24"/>
                      <w:szCs w:val="24"/>
                      <w:u w:val="singl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1"/>
                      <w:bCs w:val="1"/>
                      <w:strike w:val="0"/>
                      <w:dstrike w:val="0"/>
                      <w:sz w:val="24"/>
                      <w:szCs w:val="24"/>
                      <w:u w:val="single"/>
                    </w:rPr>
                    <w:t>Rates exclude:</w:t>
                  </w:r>
                </w:p>
                <w:p w:rsidR="46F0CEB0" w:rsidP="46F0CEB0" w:rsidRDefault="46F0CEB0" w14:paraId="73172857" w14:textId="384ECBEB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 xml:space="preserve">Freight charges 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23C6F4E4" w14:textId="6C37E476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137DE869" w14:textId="222926F5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70967EA1" w14:textId="5B2BBE54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6D04BB97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5FDC59BA" w14:textId="263AB9D4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 xml:space="preserve">Customs duty, 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taxes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 xml:space="preserve"> and other government charges</w:t>
                  </w:r>
                </w:p>
                <w:p w:rsidR="46F0CEB0" w:rsidP="46F0CEB0" w:rsidRDefault="46F0CEB0" w14:paraId="7382875C" w14:textId="72586B1D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Container rent prior to stuffing</w:t>
                  </w:r>
                  <w:r>
                    <w:tab/>
                  </w:r>
                </w:p>
                <w:p w:rsidR="46F0CEB0" w:rsidP="46F0CEB0" w:rsidRDefault="46F0CEB0" w14:paraId="653AE779" w14:textId="50ACB678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Multiple collection points</w:t>
                  </w:r>
                </w:p>
                <w:p w:rsidR="46F0CEB0" w:rsidP="46F0CEB0" w:rsidRDefault="46F0CEB0" w14:paraId="1E6E9E21" w14:textId="6330DEBD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Storage charges on consignments held at customer’s request.</w:t>
                  </w:r>
                </w:p>
                <w:p w:rsidR="46F0CEB0" w:rsidP="46F0CEB0" w:rsidRDefault="46F0CEB0" w14:paraId="7B6BEDA5" w14:textId="2359895D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Insurance</w:t>
                  </w:r>
                </w:p>
                <w:p w:rsidR="46F0CEB0" w:rsidP="46F0CEB0" w:rsidRDefault="46F0CEB0" w14:paraId="5B886410" w14:textId="2B430C50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Inspection fees and all charges associated with ordered treatment</w:t>
                  </w:r>
                  <w:r>
                    <w:tab/>
                  </w:r>
                </w:p>
                <w:p w:rsidR="46F0CEB0" w:rsidP="46F0CEB0" w:rsidRDefault="46F0CEB0" w14:paraId="4B5F1B94" w14:textId="2663D06F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Steam cleaning, fumigation etc. if required.</w:t>
                  </w:r>
                </w:p>
                <w:p w:rsidR="46F0CEB0" w:rsidP="46F0CEB0" w:rsidRDefault="46F0CEB0" w14:paraId="4DF54C9F" w14:textId="5A71FDD0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Specialist packing of delicate or valuable items.</w:t>
                  </w:r>
                  <w:r>
                    <w:tab/>
                  </w:r>
                </w:p>
                <w:p w:rsidR="46F0CEB0" w:rsidP="46F0CEB0" w:rsidRDefault="46F0CEB0" w14:paraId="29CFF4B1" w14:textId="66538CEC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Terminal handling charges</w:t>
                  </w:r>
                </w:p>
                <w:p w:rsidR="46F0CEB0" w:rsidP="46F0CEB0" w:rsidRDefault="46F0CEB0" w14:paraId="601DA3DC" w14:textId="5D8B80A5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  <w:t>Services outside the terms of the Allied Service Charter</w:t>
                  </w:r>
                  <w:r>
                    <w:tab/>
                  </w:r>
                </w:p>
                <w:p w:rsidR="46F0CEB0" w:rsidP="46F0CEB0" w:rsidRDefault="46F0CEB0" w14:paraId="58E64352" w14:textId="766F9EC2">
                  <w:pPr>
                    <w:pStyle w:val="Normal"/>
                    <w:spacing w:before="0" w:beforeAutospacing="off" w:after="0" w:afterAutospacing="off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trike w:val="0"/>
                      <w:dstrike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RDefault="46F0CEB0" w14:paraId="7471355C" w14:textId="6A94105B"/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RDefault="46F0CEB0" w14:paraId="2D57F450" w14:textId="3D4ED300"/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01A02E1" w14:textId="770AAA7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479998AA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0D7F6F4" w14:textId="19AF4FE2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4B93D695" w14:textId="1371BE5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CD65D70" w14:textId="37741428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1442BDDE" w14:textId="5FDEC84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6615AD99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3A08394" w14:textId="4DB6232D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66FDE0BE" w14:textId="773B53F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94EB8AE" w14:textId="7B8625B4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28ED907F" w14:textId="59A4993B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0B2E3C56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2DA975E" w14:textId="06C9D9A6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72F07215" w14:textId="11EB241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09085CC9" w14:textId="1AFFABD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1F2C71CD" w14:textId="10124CD9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493BF648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770BB44B" w14:textId="515C3334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13AB440E" w14:textId="5C2ED65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50CF3216" w14:textId="2B5777F9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18617383" w14:textId="2A2F9C82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4B271C12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503C8465" w14:textId="135D678A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6C7E27A3" w14:textId="0DCC47F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02247179" w14:textId="3BEE3014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669D4BBA" w14:textId="7A90543B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3D18FF7E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2979DB9A" w14:textId="33143DE2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47DBCE30" w14:textId="0A2364A5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7412E9DC" w14:textId="48567758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403068E5" w14:textId="563715D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30E1DB8E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6C50884E" w14:textId="6A50B394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8010B36" w14:textId="05BB8517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983C063" w14:textId="103B834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3202A08" w14:textId="30DD074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33D22E7C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2115EF9C" w14:textId="1AD05687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728485DE" w14:textId="7C9EC400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2DC00A0B" w14:textId="16F586D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03B10B4C" w14:textId="5E9B3DDC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0D08471D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6B692DAB" w14:textId="45086F6B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3CB28970" w14:textId="4B8E2201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24AF7D2D" w14:textId="6348AB7D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2258C88B" w14:textId="31977830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46F0CEB0" w:rsidTr="46F0CEB0" w14:paraId="00D0627D">
              <w:trPr>
                <w:trHeight w:val="795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46F0CEB0" w:rsidP="46F0CEB0" w:rsidRDefault="46F0CEB0" w14:paraId="47D78B88" w14:textId="35A6978E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  <w:p w:rsidR="46F0CEB0" w:rsidP="46F0CEB0" w:rsidRDefault="46F0CEB0" w14:paraId="1AEA22A3" w14:textId="286A1A42">
                  <w:pPr>
                    <w:rPr>
                      <w:rFonts w:ascii="Arial" w:hAnsi="Arial" w:eastAsia="Arial" w:cs="Arial"/>
                      <w:b w:val="1"/>
                      <w:bCs w:val="1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1"/>
                      <w:bCs w:val="1"/>
                      <w:sz w:val="24"/>
                      <w:szCs w:val="24"/>
                    </w:rPr>
                    <w:t xml:space="preserve">Additional Services </w:t>
                  </w:r>
                </w:p>
                <w:p w:rsidR="46F0CEB0" w:rsidP="46F0CEB0" w:rsidRDefault="46F0CEB0" w14:paraId="7B821AE0" w14:textId="28B66EE9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Stair 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carry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 beyond 2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  <w:vertAlign w:val="superscript"/>
                    </w:rPr>
                    <w:t>nd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 floor - € 10.00 - Rate per CBM per floor (rate applies only to floors beyond second floor)</w:t>
                  </w:r>
                </w:p>
                <w:p w:rsidR="46F0CEB0" w:rsidP="46F0CEB0" w:rsidRDefault="46F0CEB0" w14:paraId="7FBF4102" w14:textId="7E151364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3F7F200D" w14:textId="507A5708">
                  <w:pPr>
                    <w:pStyle w:val="Normal"/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Carry beyond 25 meters - € 10.00 - Rate per CBM per 25 meters (rate applies only to distance beyond first 25 meters)</w:t>
                  </w:r>
                  <w:r>
                    <w:tab/>
                  </w:r>
                  <w:r>
                    <w:tab/>
                  </w:r>
                </w:p>
                <w:p w:rsidR="46F0CEB0" w:rsidP="46F0CEB0" w:rsidRDefault="46F0CEB0" w14:paraId="259C3BB2" w14:textId="5811952D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7D924F50" w14:textId="5C42517A">
                  <w:pPr>
                    <w:pStyle w:val="Normal"/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Inside elevator use - € 7.50 - Rate per CBM (rate applies to all Elevator use irrespective of floor level of delivery)</w:t>
                  </w:r>
                  <w:r>
                    <w:tab/>
                  </w:r>
                </w:p>
                <w:p w:rsidR="46F0CEB0" w:rsidP="46F0CEB0" w:rsidRDefault="46F0CEB0" w14:paraId="71083CF1" w14:textId="4427B768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741DB458" w14:textId="3DED4DC3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External elevator use - € 575.00 - Flat Rate </w:t>
                  </w:r>
                  <w:r>
                    <w:tab/>
                  </w:r>
                </w:p>
                <w:p w:rsidR="46F0CEB0" w:rsidP="46F0CEB0" w:rsidRDefault="46F0CEB0" w14:paraId="0132CFF6" w14:textId="29396A8B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1C8EDCFA" w14:textId="0DB229FA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Shuttle Service - € 12.00 - Rate per CBM </w:t>
                  </w:r>
                </w:p>
                <w:p w:rsidR="46F0CEB0" w:rsidP="46F0CEB0" w:rsidRDefault="46F0CEB0" w14:paraId="0F045688" w14:textId="3ACDDF33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0E187830" w14:textId="4130F271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Warehouse Handling - € 15.00 - Rate per CBM</w:t>
                  </w:r>
                </w:p>
                <w:p w:rsidR="46F0CEB0" w:rsidP="46F0CEB0" w:rsidRDefault="46F0CEB0" w14:paraId="262B3FA9" w14:textId="7ABFCCF7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5AF6EF20" w14:textId="5CBD14ED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Monthly Storage - € 5.50 - Rate per CBM</w:t>
                  </w:r>
                </w:p>
                <w:p w:rsidR="46F0CEB0" w:rsidP="46F0CEB0" w:rsidRDefault="46F0CEB0" w14:paraId="6A62D9D9" w14:textId="4A8FBC35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757FDBCD" w14:textId="0AF2DA1C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Customs crating - € 35.00 - Rate per crate, 10 crates free of charge</w:t>
                  </w:r>
                  <w:r>
                    <w:tab/>
                  </w:r>
                </w:p>
                <w:p w:rsidR="46F0CEB0" w:rsidP="46F0CEB0" w:rsidRDefault="46F0CEB0" w14:paraId="5D9DD16B" w14:textId="2A8548A2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78F784FC" w14:textId="3AE19C6C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Upright Piano Handling - € 350.00 - Flat rate for delivery to ground floor, +150 EUR per floor</w:t>
                  </w:r>
                  <w:r>
                    <w:tab/>
                  </w:r>
                </w:p>
                <w:p w:rsidR="46F0CEB0" w:rsidP="46F0CEB0" w:rsidRDefault="46F0CEB0" w14:paraId="219FBFBE" w14:textId="41131B26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4B8BB438" w14:textId="74ABD9AF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Extra stop within 30 miles / 50 kilometers of the primary service location - € 350.00 - Flat charge per 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additional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 stop</w:t>
                  </w:r>
                </w:p>
                <w:p w:rsidR="46F0CEB0" w:rsidP="46F0CEB0" w:rsidRDefault="46F0CEB0" w14:paraId="071D8B2D" w14:textId="6A02CDD5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44F168C2" w14:textId="600BE147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Parking Permit – As per outlay – Flat charge </w:t>
                  </w:r>
                </w:p>
                <w:p w:rsidR="46F0CEB0" w:rsidP="46F0CEB0" w:rsidRDefault="46F0CEB0" w14:paraId="0ED4259B" w14:textId="21D1D922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46F0CEB0" w:rsidP="46F0CEB0" w:rsidRDefault="46F0CEB0" w14:paraId="41BBC498" w14:textId="63DED1E0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Additional remarks / Terms of service </w:t>
                  </w:r>
                </w:p>
                <w:p w:rsidR="46F0CEB0" w:rsidP="46F0CEB0" w:rsidRDefault="46F0CEB0" w14:paraId="5FDFA37B" w14:textId="1AC2810E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 xml:space="preserve">** Normal access is defined as </w:t>
                  </w:r>
                </w:p>
                <w:p w:rsidR="46F0CEB0" w:rsidP="46F0CEB0" w:rsidRDefault="46F0CEB0" w14:paraId="43D80465" w14:textId="31E4D5FA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 xml:space="preserve"> A single mainland residence accessed by direct road route. Vehicle must be able to gain legal and safe access and park within 25 meters of the ground floor entrance to a house or an apartment door. Collection and/or delivery must be able to take place through an unobstructed entrance/stairs/elevator large enough to accommodate all goods.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46F0CEB0" w:rsidP="46F0CEB0" w:rsidRDefault="46F0CEB0" w14:paraId="54DC7FAA" w14:textId="76E2BA85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 xml:space="preserve">Collection and/or delivery will be from/to the ground floor or the second floor (assuming that the ground floor is the first floor) An 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>additional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 xml:space="preserve"> fee will be charged for the use of an elevat</w:t>
                  </w:r>
                  <w:r w:rsidRPr="46F0CEB0" w:rsidR="46F0CEB0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or</w:t>
                  </w:r>
                  <w:r>
                    <w:tab/>
                  </w:r>
                </w:p>
              </w:tc>
              <w:tc>
                <w:tcPr>
                  <w:tcW w:w="345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46F0CEB0" w:rsidP="46F0CEB0" w:rsidRDefault="46F0CEB0" w14:paraId="4F017CA7" w14:textId="35DCD47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46F0CEB0" w:rsidP="46F0CEB0" w:rsidRDefault="46F0CEB0" w14:paraId="0DC5D1F8" w14:textId="45A32C18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46F0CEB0" w:rsidP="46F0CEB0" w:rsidRDefault="46F0CEB0" w14:paraId="3A2EB1E4" w14:textId="22AA642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</w:tbl>
          <w:p w:rsidR="46F0CEB0" w:rsidP="46F0CEB0" w:rsidRDefault="46F0CEB0" w14:paraId="00385FC9" w14:textId="47019553">
            <w:pPr>
              <w:rPr>
                <w:rFonts w:ascii="Arial" w:hAnsi="Arial" w:eastAsia="Arial" w:cs="Arial"/>
              </w:rPr>
            </w:pPr>
            <w:r w:rsidRPr="46F0CEB0" w:rsidR="46F0CEB0">
              <w:rPr>
                <w:rFonts w:ascii="Arial" w:hAnsi="Arial" w:eastAsia="Arial" w:cs="Arial"/>
              </w:rPr>
              <w:t xml:space="preserve">Rates should be used in conjunction with the </w:t>
            </w:r>
            <w:r w:rsidRPr="46F0CEB0" w:rsidR="46F0CEB0">
              <w:rPr>
                <w:rFonts w:ascii="Arial" w:hAnsi="Arial" w:eastAsia="Arial" w:cs="Arial"/>
              </w:rPr>
              <w:t>appropriate rates</w:t>
            </w:r>
            <w:r w:rsidRPr="46F0CEB0" w:rsidR="46F0CEB0">
              <w:rPr>
                <w:rFonts w:ascii="Arial" w:hAnsi="Arial" w:eastAsia="Arial" w:cs="Arial"/>
              </w:rPr>
              <w:t xml:space="preserve"> appended to </w:t>
            </w:r>
            <w:r w:rsidRPr="46F0CEB0" w:rsidR="46F0CEB0">
              <w:rPr>
                <w:rFonts w:ascii="Arial" w:hAnsi="Arial" w:eastAsia="Arial" w:cs="Arial"/>
              </w:rPr>
              <w:t>Origin</w:t>
            </w:r>
            <w:r w:rsidRPr="46F0CEB0" w:rsidR="46F0CEB0">
              <w:rPr>
                <w:rFonts w:ascii="Arial" w:hAnsi="Arial" w:eastAsia="Arial" w:cs="Arial"/>
              </w:rPr>
              <w:t xml:space="preserve"> city.</w:t>
            </w:r>
          </w:p>
          <w:p w:rsidR="46F0CEB0" w:rsidP="46F0CEB0" w:rsidRDefault="46F0CEB0" w14:paraId="380D5B55" w14:textId="43A5E329">
            <w:pPr>
              <w:pStyle w:val="Normal"/>
              <w:rPr>
                <w:rFonts w:ascii="Arial" w:hAnsi="Arial" w:eastAsia="Arial" w:cs="Arial"/>
              </w:rPr>
            </w:pPr>
          </w:p>
          <w:p w:rsidR="46F0CEB0" w:rsidP="46F0CEB0" w:rsidRDefault="46F0CEB0" w14:paraId="493BA195" w14:textId="56823331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6F0CEB0" w:rsidR="46F0CEB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Minimums / Maximums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(Container maximums do not apply for multiple containers)</w:t>
            </w:r>
          </w:p>
          <w:p w:rsidR="46F0CEB0" w:rsidP="46F0CEB0" w:rsidRDefault="46F0CEB0" w14:paraId="0D3C28D2" w14:textId="325CA4AE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46F0CEB0" w:rsidP="46F0CEB0" w:rsidRDefault="46F0CEB0" w14:paraId="74EC4948" w14:textId="48B46CC2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6F0CEB0" w:rsidR="46F0CEB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Minimums</w:t>
            </w:r>
          </w:p>
          <w:p w:rsidR="46F0CEB0" w:rsidP="46F0CEB0" w:rsidRDefault="46F0CEB0" w14:paraId="5B378C97" w14:textId="19DE2F1E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46F0CEB0" w:rsidP="46F0CEB0" w:rsidRDefault="46F0CEB0" w14:paraId="3A4E1074" w14:textId="7BFEC1F6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  <w:t>FCL Sole Use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46F0CEB0" w:rsidP="46F0CEB0" w:rsidRDefault="46F0CEB0" w14:paraId="5AF93130" w14:textId="03B286F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20' container:    2000 lbs.</w:t>
            </w:r>
            <w:r>
              <w:tab/>
            </w:r>
            <w:r>
              <w:tab/>
            </w:r>
            <w:r>
              <w:tab/>
            </w:r>
          </w:p>
          <w:p w:rsidR="46F0CEB0" w:rsidP="46F0CEB0" w:rsidRDefault="46F0CEB0" w14:paraId="7DAC4A4A" w14:textId="2ED4D1D6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40' container:   Loose Packed -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6000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lbs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 /   Lift Van Packed -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5000 lbs</w:t>
            </w:r>
            <w:r>
              <w:tab/>
            </w:r>
            <w:r>
              <w:tab/>
            </w:r>
            <w:r>
              <w:tab/>
            </w:r>
          </w:p>
          <w:p w:rsidR="46F0CEB0" w:rsidP="46F0CEB0" w:rsidRDefault="46F0CEB0" w14:paraId="3FEA509A" w14:textId="3F6AECAD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40' High Cube container:   Loose Packed -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6000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lbs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 /   Lift Van Packed -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5000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lbs </w:t>
            </w:r>
          </w:p>
          <w:p w:rsidR="46F0CEB0" w:rsidP="46F0CEB0" w:rsidRDefault="46F0CEB0" w14:paraId="327040C4" w14:textId="3E5B02ED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46F0CEB0" w:rsidP="46F0CEB0" w:rsidRDefault="46F0CEB0" w14:paraId="2F4C8EDC" w14:textId="1091A9E3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  <w:t>Airfreight</w:t>
            </w:r>
          </w:p>
          <w:p w:rsidR="46F0CEB0" w:rsidP="46F0CEB0" w:rsidRDefault="46F0CEB0" w14:paraId="093AE179" w14:textId="372A06D8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500 lbs</w:t>
            </w:r>
          </w:p>
          <w:p w:rsidR="46F0CEB0" w:rsidP="46F0CEB0" w:rsidRDefault="46F0CEB0" w14:paraId="7033F414" w14:textId="0437C161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46F0CEB0" w:rsidP="46F0CEB0" w:rsidRDefault="46F0CEB0" w14:paraId="30158075" w14:textId="771442D6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  <w:t>LCL</w:t>
            </w:r>
          </w:p>
          <w:p w:rsidR="46F0CEB0" w:rsidP="46F0CEB0" w:rsidRDefault="46F0CEB0" w14:paraId="17244CB5" w14:textId="3BC5B5B8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1000 </w:t>
            </w:r>
            <w:r w:rsidRPr="46F0CEB0" w:rsidR="46F0CE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lbs</w:t>
            </w:r>
          </w:p>
          <w:p w:rsidR="46F0CEB0" w:rsidP="46F0CEB0" w:rsidRDefault="46F0CEB0" w14:paraId="55FBFFBC" w14:textId="3414178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46F0CEB0" w:rsidP="46F0CEB0" w:rsidRDefault="46F0CEB0" w14:paraId="277826D2" w14:textId="7F2882D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46F0CEB0" w:rsidR="46F0CE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SIRVA / Allied France</w:t>
            </w:r>
          </w:p>
          <w:p w:rsidR="46F0CEB0" w:rsidP="46F0CEB0" w:rsidRDefault="46F0CEB0" w14:paraId="3065A8F9" w14:textId="4A04CA0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</w:pPr>
            <w:r w:rsidRPr="46F0CEB0" w:rsidR="46F0CE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  <w:t>1 rue du 1er Mai</w:t>
            </w:r>
          </w:p>
          <w:p w:rsidR="46F0CEB0" w:rsidP="46F0CEB0" w:rsidRDefault="46F0CEB0" w14:paraId="7829FBDE" w14:textId="2C186FD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</w:pPr>
            <w:r w:rsidRPr="46F0CEB0" w:rsidR="46F0CE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  <w:t>CS 10147</w:t>
            </w:r>
          </w:p>
          <w:p w:rsidR="46F0CEB0" w:rsidP="46F0CEB0" w:rsidRDefault="46F0CEB0" w14:paraId="21201569" w14:textId="288F464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</w:pPr>
            <w:r w:rsidRPr="46F0CEB0" w:rsidR="46F0CE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  <w:t>92752 Nanterre Cedex, France</w:t>
            </w:r>
          </w:p>
          <w:p w:rsidR="46F0CEB0" w:rsidP="46F0CEB0" w:rsidRDefault="46F0CEB0" w14:paraId="64EE2BC9" w14:textId="70FB695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</w:p>
          <w:p w:rsidR="46F0CEB0" w:rsidP="46F0CEB0" w:rsidRDefault="46F0CEB0" w14:paraId="3761CF0D" w14:textId="67FAB434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19"/>
                <w:szCs w:val="19"/>
                <w:lang w:val="en-US"/>
              </w:rPr>
            </w:pPr>
            <w:r w:rsidRPr="46F0CEB0" w:rsidR="46F0CE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Contact: </w:t>
            </w:r>
            <w:hyperlink r:id="R21384acfa94842e0">
              <w:r w:rsidRPr="46F0CEB0" w:rsidR="46F0CEB0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563C1"/>
                  <w:sz w:val="24"/>
                  <w:szCs w:val="24"/>
                  <w:u w:val="single"/>
                  <w:lang w:val="en-US"/>
                </w:rPr>
                <w:t>Antoine.Brethome@SIRVA.com</w:t>
              </w:r>
            </w:hyperlink>
          </w:p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6EE527A3" w14:textId="33527E11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1BF63CE4" w14:textId="0C7393A8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06887860" w14:textId="3CB2303F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323F7C20" w14:textId="14B89450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4A0DE9E6" w14:textId="0A49C3D8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5F1C7BC6" w14:textId="1562B9FC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0207D50E" w14:textId="2F639C79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66B9BAC2" w14:textId="285119CD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22210C88" w14:textId="10FC72F7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47F51D63" w14:textId="259E600A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439049AD" w14:textId="3F15DF98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6F0CEB0" w:rsidRDefault="46F0CEB0" w14:paraId="1D9E5BBD" w14:textId="65C16C09"/>
        </w:tc>
      </w:tr>
    </w:tbl>
    <w:p w:rsidR="46F0CEB0" w:rsidP="46F0CEB0" w:rsidRDefault="46F0CEB0" w14:paraId="1D9E849A" w14:textId="00A62B9C">
      <w:pPr>
        <w:pStyle w:val="Normal"/>
        <w:rPr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0E6115"/>
    <w:rsid w:val="46F0CEB0"/>
    <w:rsid w:val="7F0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6115"/>
  <w15:chartTrackingRefBased/>
  <w15:docId w15:val="{64E0E6D4-705C-4EB1-8BCF-61771D802D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ntoine.Brethome@SIRVA.com" TargetMode="External" Id="R21384acfa94842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2024-01-17T08:18:23.1335893Z</dcterms:created>
  <dcterms:modified xsi:type="dcterms:W3CDTF">2024-01-17T10:57:27.2184792Z</dcterms:modified>
  <dc:creator>binah MoversPOE</dc:creator>
  <lastModifiedBy>binah MoversPOE</lastModifiedBy>
</coreProperties>
</file>