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2F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Theme="majorAscii" w:hAnsiTheme="majorAscii"/>
          <w:b/>
          <w:bCs/>
          <w:color w:val="002060"/>
          <w:sz w:val="36"/>
          <w:szCs w:val="36"/>
          <w:lang w:val="en-US"/>
        </w:rPr>
      </w:pPr>
      <w:r>
        <w:rPr>
          <w:rFonts w:hint="default" w:asciiTheme="majorAscii" w:hAnsiTheme="majorAscii"/>
          <w:b/>
          <w:bCs/>
          <w:color w:val="002060"/>
          <w:sz w:val="36"/>
          <w:szCs w:val="36"/>
          <w:lang w:val="en-US"/>
        </w:rPr>
        <w:t>INCLUSIONS - EXCLUSIONS - ACCESSORIAL CHARGES</w:t>
      </w:r>
    </w:p>
    <w:p w14:paraId="7C3AC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Theme="majorAscii" w:hAnsiTheme="majorAscii"/>
          <w:b/>
          <w:bCs/>
          <w:color w:val="002060"/>
          <w:sz w:val="36"/>
          <w:szCs w:val="36"/>
          <w:lang w:val="en-US"/>
        </w:rPr>
      </w:pPr>
      <w:r>
        <w:rPr>
          <w:rFonts w:hint="default" w:asciiTheme="majorAscii" w:hAnsiTheme="majorAscii"/>
          <w:b/>
          <w:bCs/>
          <w:color w:val="002060"/>
          <w:sz w:val="36"/>
          <w:szCs w:val="36"/>
          <w:lang w:val="en-US"/>
        </w:rPr>
        <w:t>(IMPORT)</w:t>
      </w:r>
    </w:p>
    <w:p w14:paraId="51B33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 w14:paraId="79F77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 w14:paraId="69E2C15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INCLUSIONS</w:t>
      </w:r>
    </w:p>
    <w:p w14:paraId="655E190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VAT</w:t>
      </w:r>
    </w:p>
    <w:p w14:paraId="2AA4C6A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Customs clearance at ICD (PL3/ Transimex/ VICT)</w:t>
      </w:r>
    </w:p>
    <w:p w14:paraId="09FECB5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Pick up from port/airport to the warehouse</w:t>
      </w:r>
    </w:p>
    <w:p w14:paraId="77ECDF9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Warehouse free storage maximum 14 days</w:t>
      </w:r>
    </w:p>
    <w:p w14:paraId="4428C4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Delivery from the warehouse to residence in HCMC, normal access (exclude: Củ Chi, Cần Giờ District)</w:t>
      </w:r>
    </w:p>
    <w:p w14:paraId="0F8B9B1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Unpacking, positioning, setting up simple furniture</w:t>
      </w:r>
    </w:p>
    <w:p w14:paraId="713D83E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  <w:lang w:val="en-US"/>
        </w:rPr>
        <w:t>R</w:t>
      </w:r>
      <w:r>
        <w:rPr>
          <w:rFonts w:hint="default"/>
        </w:rPr>
        <w:t>emoval debris same day of delivery</w:t>
      </w:r>
    </w:p>
    <w:p w14:paraId="644C1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</w:rPr>
      </w:pPr>
    </w:p>
    <w:p w14:paraId="31B2D07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EXCLUSIONS</w:t>
      </w:r>
    </w:p>
    <w:p w14:paraId="2D349C2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Port charge, Local charge, DO, THC… bill at cost</w:t>
      </w:r>
    </w:p>
    <w:p w14:paraId="360DB92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Import tax/duty</w:t>
      </w:r>
    </w:p>
    <w:p w14:paraId="7A23C3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Port/ airport demurrage &amp; detention</w:t>
      </w:r>
    </w:p>
    <w:p w14:paraId="440CBC7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Difficult access, basement fee, shuttle service, parking fee</w:t>
      </w:r>
    </w:p>
    <w:p w14:paraId="0F5801B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Weekend/ holiday unpacking/ overtime</w:t>
      </w:r>
    </w:p>
    <w:p w14:paraId="5D9687A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Handyman service, heavy items</w:t>
      </w:r>
    </w:p>
    <w:p w14:paraId="00F683D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Counting each item</w:t>
      </w:r>
    </w:p>
    <w:p w14:paraId="20BD22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 xml:space="preserve">Any </w:t>
      </w:r>
      <w:r>
        <w:rPr>
          <w:rFonts w:hint="default"/>
          <w:lang w:val="en-US"/>
        </w:rPr>
        <w:t>special</w:t>
      </w:r>
      <w:r>
        <w:rPr>
          <w:rFonts w:hint="default"/>
        </w:rPr>
        <w:t xml:space="preserve"> requirements</w:t>
      </w:r>
    </w:p>
    <w:p w14:paraId="39DCD80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</w:rPr>
      </w:pPr>
      <w:r>
        <w:rPr>
          <w:rFonts w:hint="default"/>
        </w:rPr>
        <w:t>Accessorial charges</w:t>
      </w:r>
      <w:r>
        <w:rPr>
          <w:rFonts w:hint="default"/>
          <w:lang w:val="en-US"/>
        </w:rPr>
        <w:t xml:space="preserve"> </w:t>
      </w:r>
      <w:r>
        <w:rPr>
          <w:rFonts w:hint="default"/>
          <w:i/>
          <w:iCs/>
          <w:lang w:val="en-US"/>
        </w:rPr>
        <w:t>(see the list)</w:t>
      </w:r>
    </w:p>
    <w:p w14:paraId="3483151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i w:val="0"/>
          <w:iCs w:val="0"/>
        </w:rPr>
      </w:pPr>
      <w:r>
        <w:rPr>
          <w:rFonts w:hint="default"/>
          <w:i w:val="0"/>
          <w:iCs w:val="0"/>
          <w:lang w:val="en-US"/>
        </w:rPr>
        <w:t>Bank charge of US$40.00</w:t>
      </w:r>
      <w:bookmarkStart w:id="0" w:name="_GoBack"/>
      <w:bookmarkEnd w:id="0"/>
    </w:p>
    <w:p w14:paraId="134AE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</w:rPr>
      </w:pPr>
    </w:p>
    <w:p w14:paraId="2B58F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ESTIMATED LOCAL CHARGES &amp; PORT CHARGES </w:t>
      </w:r>
    </w:p>
    <w:p w14:paraId="2A4F4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i w:val="0"/>
          <w:iCs w:val="0"/>
          <w:u w:val="single"/>
          <w:lang w:val="en-US"/>
        </w:rPr>
      </w:pPr>
      <w:r>
        <w:rPr>
          <w:rFonts w:hint="default"/>
          <w:b/>
          <w:bCs/>
          <w:i w:val="0"/>
          <w:iCs w:val="0"/>
          <w:u w:val="single"/>
        </w:rPr>
        <w:t>Local charges</w:t>
      </w:r>
      <w:r>
        <w:rPr>
          <w:rFonts w:hint="default"/>
          <w:b w:val="0"/>
          <w:bCs w:val="0"/>
          <w:i/>
          <w:iCs/>
          <w:u w:val="none"/>
          <w:lang w:val="en-US"/>
        </w:rPr>
        <w:t xml:space="preserve"> (you can consider to prepay at Origin if possible)</w:t>
      </w:r>
    </w:p>
    <w:p w14:paraId="48B8366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LCL shipments: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US$60.00 - US$80.00 per cbm</w:t>
      </w:r>
    </w:p>
    <w:p w14:paraId="2CE7160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FCL 1x20’ container: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US$350.00 - US$450.00 per container</w:t>
      </w:r>
    </w:p>
    <w:p w14:paraId="00B4927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FCL 1x40’ container: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US$450.00 - US$550.00 per container</w:t>
      </w:r>
    </w:p>
    <w:p w14:paraId="4C4EE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val="en-US"/>
        </w:rPr>
      </w:pPr>
    </w:p>
    <w:p w14:paraId="0805F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Port charges:</w:t>
      </w:r>
    </w:p>
    <w:p w14:paraId="0F7AA31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Air shipment: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US$0.2 per acw kgs</w:t>
      </w:r>
    </w:p>
    <w:p w14:paraId="1778388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LCL shipments: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US$5.00 per cbm</w:t>
      </w:r>
    </w:p>
    <w:p w14:paraId="01748BF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FCL 1x20’ container: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US$100.00 - US$120.00 per container</w:t>
      </w:r>
    </w:p>
    <w:p w14:paraId="3ACB872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8" w:leftChars="0" w:hanging="418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FCL 1x40’ container: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US$120.00 - US$150.00 per container</w:t>
      </w:r>
    </w:p>
    <w:p w14:paraId="54E27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6D563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56365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639B3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</w:rPr>
      </w:pPr>
    </w:p>
    <w:p w14:paraId="7081C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en-US"/>
        </w:rPr>
      </w:pPr>
    </w:p>
    <w:p w14:paraId="002EA00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ACCESSORIAL CHARGES</w:t>
      </w:r>
    </w:p>
    <w:tbl>
      <w:tblPr>
        <w:tblStyle w:val="13"/>
        <w:tblpPr w:leftFromText="180" w:rightFromText="180" w:vertAnchor="text" w:horzAnchor="page" w:tblpX="1094" w:tblpY="508"/>
        <w:tblOverlap w:val="never"/>
        <w:tblW w:w="10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6"/>
        <w:gridCol w:w="1216"/>
        <w:gridCol w:w="1271"/>
        <w:gridCol w:w="1681"/>
      </w:tblGrid>
      <w:tr w14:paraId="77F8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vAlign w:val="center"/>
          </w:tcPr>
          <w:p w14:paraId="3DB92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  <w:t>Services Description</w:t>
            </w:r>
          </w:p>
        </w:tc>
        <w:tc>
          <w:tcPr>
            <w:tcW w:w="1216" w:type="dxa"/>
            <w:vAlign w:val="center"/>
          </w:tcPr>
          <w:p w14:paraId="25D75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  <w:t>Unit</w:t>
            </w:r>
          </w:p>
        </w:tc>
        <w:tc>
          <w:tcPr>
            <w:tcW w:w="1271" w:type="dxa"/>
            <w:vAlign w:val="center"/>
          </w:tcPr>
          <w:p w14:paraId="7375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  <w:t>Charge</w:t>
            </w:r>
          </w:p>
        </w:tc>
        <w:tc>
          <w:tcPr>
            <w:tcW w:w="1681" w:type="dxa"/>
            <w:vAlign w:val="center"/>
          </w:tcPr>
          <w:p w14:paraId="0F28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215968" w:themeColor="accent5" w:themeShade="80"/>
                <w:sz w:val="22"/>
                <w:szCs w:val="22"/>
                <w:vertAlign w:val="baseline"/>
                <w:lang w:val="en-US"/>
              </w:rPr>
              <w:t>Remarks</w:t>
            </w:r>
          </w:p>
        </w:tc>
      </w:tr>
      <w:tr w14:paraId="4965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bottom w:val="dashSmallGap" w:color="auto" w:sz="4" w:space="0"/>
              <w:right w:val="single" w:color="auto" w:sz="4" w:space="0"/>
            </w:tcBorders>
            <w:vAlign w:val="top"/>
          </w:tcPr>
          <w:p w14:paraId="00A5D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Pick-up/ Return empty container</w:t>
            </w:r>
          </w:p>
          <w:p w14:paraId="2012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at Port/ depot out of HCM center, double check with us in advance</w:t>
            </w:r>
          </w:p>
        </w:tc>
        <w:tc>
          <w:tcPr>
            <w:tcW w:w="1216" w:type="dxa"/>
            <w:tcBorders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1149D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Container</w:t>
            </w:r>
          </w:p>
        </w:tc>
        <w:tc>
          <w:tcPr>
            <w:tcW w:w="1271" w:type="dxa"/>
            <w:tcBorders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7101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40.00</w:t>
            </w:r>
          </w:p>
        </w:tc>
        <w:tc>
          <w:tcPr>
            <w:tcW w:w="1681" w:type="dxa"/>
            <w:tcBorders>
              <w:left w:val="single" w:color="auto" w:sz="4" w:space="0"/>
              <w:bottom w:val="dashSmallGap" w:color="auto" w:sz="4" w:space="0"/>
            </w:tcBorders>
            <w:vAlign w:val="top"/>
          </w:tcPr>
          <w:p w14:paraId="5A450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1060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15218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Pick-up/ Return empty container</w:t>
            </w:r>
          </w:p>
          <w:p w14:paraId="08242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Fee for change to Port/ depot in HCM center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4139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Container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F85E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30.00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0CC55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7F74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2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 w14:paraId="1FE06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Split deliveries</w:t>
            </w:r>
          </w:p>
        </w:tc>
      </w:tr>
      <w:tr w14:paraId="40C6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8B2A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</w:rPr>
              <w:t>Split Delivery in same day/ same client: &lt; 3cbm</w:t>
            </w:r>
          </w:p>
        </w:tc>
        <w:tc>
          <w:tcPr>
            <w:tcW w:w="1216" w:type="dxa"/>
            <w:vMerge w:val="restart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07BE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trip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0C58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543B2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3939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0948D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Split Delivery in same day/ same client: 3.1 -6cbm</w:t>
            </w:r>
          </w:p>
        </w:tc>
        <w:tc>
          <w:tcPr>
            <w:tcW w:w="1216" w:type="dxa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62CB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6EA1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90.00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6418B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59A2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80DA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Split Delivery in same day/ same client: 6-10cbm</w:t>
            </w:r>
          </w:p>
        </w:tc>
        <w:tc>
          <w:tcPr>
            <w:tcW w:w="1216" w:type="dxa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1A211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10468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120.00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63628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407D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41B2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Shuttle fee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E33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cbm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AE9D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3AC8E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US$50.00</w:t>
            </w:r>
          </w:p>
        </w:tc>
      </w:tr>
      <w:tr w14:paraId="7810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D1D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Long carry</w:t>
            </w:r>
          </w:p>
          <w:p w14:paraId="366D3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from truck to elevator/ client door &gt;40meters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2741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4362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0CFB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US$30.00</w:t>
            </w:r>
          </w:p>
        </w:tc>
      </w:tr>
      <w:tr w14:paraId="7DD5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84F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Stair carry</w:t>
            </w: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(from the 3</w:t>
            </w:r>
            <w:r>
              <w:rPr>
                <w:rFonts w:hint="default"/>
                <w:i/>
                <w:iCs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 xml:space="preserve"> floor)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E66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cbm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68A5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422C9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US$30.00</w:t>
            </w:r>
          </w:p>
        </w:tc>
      </w:tr>
      <w:tr w14:paraId="36B8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0C35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Handy man for hanging paintings/ Overtime 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4B940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Hour/man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1A3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3B0A0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US$50.00</w:t>
            </w:r>
          </w:p>
        </w:tc>
      </w:tr>
      <w:tr w14:paraId="5B48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3BD1D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Weekend</w:t>
            </w: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: Saturday, Sunday, holidays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FE4E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Hour/man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65B8A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12.00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0DCCB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US$60.00</w:t>
            </w:r>
          </w:p>
        </w:tc>
      </w:tr>
      <w:tr w14:paraId="657F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4E83D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Assembly new items; dis-/ reassembly Ikea/ difficult Furniture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D218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item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1F8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45.00</w:t>
            </w:r>
          </w:p>
          <w:p w14:paraId="78EEB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02704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7878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4CA3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Heavy items handling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72B4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item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BD70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4AF8E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0D36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2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 w14:paraId="199F4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Special heavy items handling</w:t>
            </w:r>
          </w:p>
        </w:tc>
      </w:tr>
      <w:tr w14:paraId="45F6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1C1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Upright piano: 180-215kg</w:t>
            </w:r>
          </w:p>
        </w:tc>
        <w:tc>
          <w:tcPr>
            <w:tcW w:w="1216" w:type="dxa"/>
            <w:vMerge w:val="restart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3CF2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  <w:p w14:paraId="10581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item</w:t>
            </w:r>
          </w:p>
          <w:p w14:paraId="379B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8CF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100.00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2D2F8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5755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F9F4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Baby grand piano: 240kg</w:t>
            </w:r>
          </w:p>
        </w:tc>
        <w:tc>
          <w:tcPr>
            <w:tcW w:w="1216" w:type="dxa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E4C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4FE5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250.00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5CF2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7F20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66D1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Grand piano: 400-500kg</w:t>
            </w:r>
          </w:p>
        </w:tc>
        <w:tc>
          <w:tcPr>
            <w:tcW w:w="1216" w:type="dxa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E82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39B6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350.00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4C03C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73AB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31011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Move Piano up/down 1 floor: handy man by stair</w:t>
            </w:r>
          </w:p>
        </w:tc>
        <w:tc>
          <w:tcPr>
            <w:tcW w:w="1216" w:type="dxa"/>
            <w:vMerge w:val="restart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52652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floor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1A5AB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50.00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3A4C1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3962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6658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Move Piano up/down 1 floor: handy man by stair &amp; difficult access</w:t>
            </w:r>
          </w:p>
        </w:tc>
        <w:tc>
          <w:tcPr>
            <w:tcW w:w="1216" w:type="dxa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AC90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0190D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90.00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16F45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2E74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1D809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Move Piano up/down 1 floor: handy man &amp; by crane/ scaffold …</w:t>
            </w:r>
          </w:p>
        </w:tc>
        <w:tc>
          <w:tcPr>
            <w:tcW w:w="121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086C4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time</w:t>
            </w:r>
          </w:p>
        </w:tc>
        <w:tc>
          <w:tcPr>
            <w:tcW w:w="12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787DB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200.00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top"/>
          </w:tcPr>
          <w:p w14:paraId="295D6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</w:p>
        </w:tc>
      </w:tr>
      <w:tr w14:paraId="5DEF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2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 w14:paraId="058D0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Warehouse storage (pro-rate)</w:t>
            </w:r>
          </w:p>
        </w:tc>
      </w:tr>
      <w:tr w14:paraId="1F0B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1FE63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Storage in transit (</w:t>
            </w: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&lt;2 months)</w:t>
            </w:r>
          </w:p>
        </w:tc>
        <w:tc>
          <w:tcPr>
            <w:tcW w:w="2487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26498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US$12.00/cbm/month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53DC5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US$60.00</w:t>
            </w:r>
          </w:p>
        </w:tc>
      </w:tr>
      <w:tr w14:paraId="5DB3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124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top"/>
          </w:tcPr>
          <w:p w14:paraId="392B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/>
              </w:rPr>
              <w:t>Long term storage</w:t>
            </w: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(&gt; 2 months)</w:t>
            </w:r>
          </w:p>
        </w:tc>
      </w:tr>
      <w:tr w14:paraId="3F4E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bottom w:val="dashSmallGap" w:color="auto" w:sz="4" w:space="0"/>
              <w:right w:val="single" w:color="auto" w:sz="4" w:space="0"/>
            </w:tcBorders>
            <w:vAlign w:val="top"/>
          </w:tcPr>
          <w:p w14:paraId="24838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WH storage charge</w:t>
            </w:r>
          </w:p>
        </w:tc>
        <w:tc>
          <w:tcPr>
            <w:tcW w:w="2487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14:paraId="3D84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US$7.00/cbm/ month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 w14:paraId="577D7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US$35.00</w:t>
            </w:r>
          </w:p>
        </w:tc>
      </w:tr>
      <w:tr w14:paraId="0C72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956" w:type="dxa"/>
            <w:tcBorders>
              <w:top w:val="dashSmallGap" w:color="auto" w:sz="4" w:space="0"/>
              <w:right w:val="single" w:color="auto" w:sz="4" w:space="0"/>
            </w:tcBorders>
            <w:vAlign w:val="top"/>
          </w:tcPr>
          <w:p w14:paraId="7F3D1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WH handling charge</w:t>
            </w:r>
          </w:p>
        </w:tc>
        <w:tc>
          <w:tcPr>
            <w:tcW w:w="2487" w:type="dxa"/>
            <w:gridSpan w:val="2"/>
            <w:tcBorders>
              <w:top w:val="dashSmallGap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2A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US$6.00/cbm/ month</w:t>
            </w:r>
          </w:p>
        </w:tc>
        <w:tc>
          <w:tcPr>
            <w:tcW w:w="1681" w:type="dxa"/>
            <w:tcBorders>
              <w:top w:val="dashSmallGap" w:color="auto" w:sz="4" w:space="0"/>
              <w:left w:val="single" w:color="auto" w:sz="4" w:space="0"/>
            </w:tcBorders>
            <w:vAlign w:val="center"/>
          </w:tcPr>
          <w:p w14:paraId="595B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i/>
                <w:iCs/>
                <w:sz w:val="22"/>
                <w:szCs w:val="22"/>
                <w:vertAlign w:val="baseline"/>
                <w:lang w:val="en-US"/>
              </w:rPr>
              <w:t>Min. US$30.00</w:t>
            </w:r>
          </w:p>
        </w:tc>
      </w:tr>
    </w:tbl>
    <w:p w14:paraId="5ADDD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val="en-US"/>
        </w:rPr>
      </w:pPr>
    </w:p>
    <w:p w14:paraId="1D823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object>
          <v:shape id="_x0000_i1025" o:spt="75" type="#_x0000_t75" style="height:25.55pt;width:465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8">
            <o:LockedField>false</o:LockedField>
          </o:OLEObject>
        </w:object>
      </w:r>
    </w:p>
    <w:sectPr>
      <w:headerReference r:id="rId5" w:type="default"/>
      <w:footerReference r:id="rId6" w:type="default"/>
      <w:pgSz w:w="11907" w:h="16839"/>
      <w:pgMar w:top="86" w:right="1296" w:bottom="1296" w:left="1296" w:header="547" w:footer="4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A9E72">
    <w:pPr>
      <w:pageBreakBefore w:val="0"/>
      <w:tabs>
        <w:tab w:val="center" w:pos="4680"/>
        <w:tab w:val="right" w:pos="9360"/>
      </w:tabs>
      <w:spacing w:after="0" w:line="240" w:lineRule="auto"/>
      <w:jc w:val="center"/>
      <w:rPr>
        <w:color w:val="595959"/>
        <w:sz w:val="20"/>
        <w:szCs w:val="20"/>
      </w:rPr>
    </w:pPr>
    <w:r>
      <w:fldChar w:fldCharType="begin"/>
    </w:r>
    <w:r>
      <w:instrText xml:space="preserve"> HYPERLINK "mailto:info@asia-relocation.com" \h </w:instrText>
    </w:r>
    <w:r>
      <w:fldChar w:fldCharType="separate"/>
    </w:r>
    <w:r>
      <w:rPr>
        <w:color w:val="1155CC"/>
        <w:sz w:val="20"/>
        <w:szCs w:val="20"/>
        <w:u w:val="single"/>
        <w:rtl w:val="0"/>
      </w:rPr>
      <w:t>info@asia-relocation.com</w:t>
    </w:r>
    <w:r>
      <w:rPr>
        <w:color w:val="1155CC"/>
        <w:sz w:val="20"/>
        <w:szCs w:val="20"/>
        <w:u w:val="single"/>
        <w:rtl w:val="0"/>
      </w:rPr>
      <w:fldChar w:fldCharType="end"/>
    </w:r>
    <w:r>
      <w:rPr>
        <w:sz w:val="20"/>
        <w:szCs w:val="20"/>
        <w:rtl w:val="0"/>
      </w:rPr>
      <w:t xml:space="preserve"> |</w:t>
    </w:r>
    <w:r>
      <w:rPr>
        <w:color w:val="595959"/>
        <w:sz w:val="20"/>
        <w:szCs w:val="20"/>
        <w:rtl w:val="0"/>
      </w:rPr>
      <w:t xml:space="preserve"> +</w:t>
    </w:r>
    <w:r>
      <w:rPr>
        <w:rFonts w:hint="default"/>
        <w:color w:val="595959"/>
        <w:sz w:val="20"/>
        <w:szCs w:val="20"/>
        <w:rtl w:val="0"/>
        <w:lang w:val="en-US"/>
      </w:rPr>
      <w:t>84 (0) 937 699 451</w:t>
    </w:r>
    <w:r>
      <w:rPr>
        <w:color w:val="595959"/>
        <w:sz w:val="20"/>
        <w:szCs w:val="20"/>
        <w:rtl w:val="0"/>
      </w:rPr>
      <w:t xml:space="preserve"> | </w:t>
    </w:r>
    <w:r>
      <w:fldChar w:fldCharType="begin"/>
    </w:r>
    <w:r>
      <w:instrText xml:space="preserve"> HYPERLINK "http://www.asia-relocation.com" \h </w:instrText>
    </w:r>
    <w:r>
      <w:fldChar w:fldCharType="separate"/>
    </w:r>
    <w:r>
      <w:rPr>
        <w:color w:val="1155CC"/>
        <w:sz w:val="20"/>
        <w:szCs w:val="20"/>
        <w:u w:val="single"/>
        <w:rtl w:val="0"/>
      </w:rPr>
      <w:t xml:space="preserve">www.asia-relocation.com </w:t>
    </w:r>
    <w:r>
      <w:rPr>
        <w:color w:val="1155CC"/>
        <w:sz w:val="20"/>
        <w:szCs w:val="20"/>
        <w:u w:val="single"/>
        <w:rtl w:val="0"/>
      </w:rPr>
      <w:fldChar w:fldCharType="end"/>
    </w:r>
    <w:r>
      <w:rPr>
        <w:color w:val="595959"/>
        <w:sz w:val="20"/>
        <w:szCs w:val="20"/>
        <w:rtl w:val="0"/>
      </w:rPr>
      <w:t xml:space="preserve">                  </w:t>
    </w:r>
  </w:p>
  <w:p w14:paraId="3CF61F73">
    <w:pPr>
      <w:pageBreakBefore w:val="0"/>
      <w:spacing w:after="0"/>
      <w:rPr>
        <w:rFonts w:ascii="Comic Sans MS" w:hAnsi="Comic Sans MS" w:eastAsia="Comic Sans MS" w:cs="Comic Sans MS"/>
        <w:color w:val="222222"/>
      </w:rPr>
    </w:pPr>
    <w:r>
      <w:pict>
        <v:rect id="_x0000_i1026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 w14:paraId="21EC35FE">
    <w:pPr>
      <w:pageBreakBefore w:val="0"/>
      <w:spacing w:after="0"/>
      <w:rPr>
        <w:color w:val="595959"/>
        <w:sz w:val="20"/>
        <w:szCs w:val="20"/>
      </w:rPr>
    </w:pPr>
  </w:p>
  <w:p w14:paraId="0869587D">
    <w:pPr>
      <w:pageBreakBefore w:val="0"/>
      <w:spacing w:after="0"/>
      <w:jc w:val="center"/>
      <w:rPr>
        <w:b/>
      </w:rPr>
    </w:pPr>
    <w:r>
      <w:rPr>
        <w:b/>
        <w:rtl w:val="0"/>
      </w:rPr>
      <w:t>Member of:</w:t>
    </w:r>
  </w:p>
  <w:p w14:paraId="3BF4C498">
    <w:pPr>
      <w:pageBreakBefore w:val="0"/>
      <w:tabs>
        <w:tab w:val="center" w:pos="4680"/>
        <w:tab w:val="right" w:pos="9360"/>
      </w:tabs>
      <w:spacing w:after="0" w:line="240" w:lineRule="auto"/>
      <w:jc w:val="center"/>
      <w:rPr>
        <w:rFonts w:ascii="Comic Sans MS" w:hAnsi="Comic Sans MS" w:eastAsia="Comic Sans MS" w:cs="Comic Sans MS"/>
        <w:color w:val="222222"/>
      </w:rPr>
    </w:pPr>
    <w:r>
      <w:rPr>
        <w:sz w:val="20"/>
        <w:szCs w:val="20"/>
      </w:rPr>
      <w:drawing>
        <wp:inline distT="114300" distB="114300" distL="114300" distR="114300">
          <wp:extent cx="3642995" cy="6159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3313" cy="616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0CE72F">
    <w:pPr>
      <w:pageBreakBefore w:val="0"/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CB74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567C570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20F817A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distT="0" distB="0" distL="0" distR="0">
          <wp:extent cx="3162300" cy="469265"/>
          <wp:effectExtent l="0" t="0" r="0" b="0"/>
          <wp:docPr id="1" name="image2.png" descr="C:\Users\Philibert\Google Drive\AsiaRelocation (Y) Drive\IMAGES\LOGO 2015\ASIARELOC 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Philibert\Google Drive\AsiaRelocation (Y) Drive\IMAGES\LOGO 2015\ASIARELOC LOGO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46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6949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</w:pPr>
  </w:p>
  <w:p w14:paraId="769020A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</w:pPr>
  </w:p>
  <w:p w14:paraId="49A7D2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050"/>
      </w:tabs>
      <w:spacing w:before="0" w:after="0" w:line="240" w:lineRule="auto"/>
      <w:ind w:left="-108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AA42F"/>
    <w:multiLevelType w:val="singleLevel"/>
    <w:tmpl w:val="EACAA42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7FD81A7D"/>
    <w:multiLevelType w:val="singleLevel"/>
    <w:tmpl w:val="7FD81A7D"/>
    <w:lvl w:ilvl="0" w:tentative="0">
      <w:start w:val="1"/>
      <w:numFmt w:val="bullet"/>
      <w:lvlText w:val=""/>
      <w:lvlJc w:val="left"/>
      <w:pPr>
        <w:tabs>
          <w:tab w:val="left" w:pos="420"/>
        </w:tabs>
        <w:ind w:left="618" w:leftChars="0" w:hanging="418" w:firstLineChars="0"/>
      </w:pPr>
      <w:rPr>
        <w:rFonts w:hint="default" w:ascii="Wingdings 2" w:hAnsi="Wingdings 2" w:cs="Wingdings 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4F205D1"/>
    <w:rsid w:val="143E5F0F"/>
    <w:rsid w:val="1EDC7070"/>
    <w:rsid w:val="20871E77"/>
    <w:rsid w:val="35D15C9B"/>
    <w:rsid w:val="3CA23579"/>
    <w:rsid w:val="49003E0E"/>
    <w:rsid w:val="4D5E2080"/>
    <w:rsid w:val="4FC60765"/>
    <w:rsid w:val="55F84CE8"/>
    <w:rsid w:val="56181AD0"/>
    <w:rsid w:val="563237A9"/>
    <w:rsid w:val="5BBB6593"/>
    <w:rsid w:val="5D3F3A19"/>
    <w:rsid w:val="6831522F"/>
    <w:rsid w:val="69456C9D"/>
    <w:rsid w:val="6D042F8D"/>
    <w:rsid w:val="76D55FAD"/>
    <w:rsid w:val="778D3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</w:pPr>
    <w:rPr>
      <w:rFonts w:ascii="Liberation Serif" w:hAnsi="Liberation Serif" w:eastAsia="SimSun" w:cs="Mangal"/>
      <w:kern w:val="3"/>
      <w:sz w:val="24"/>
      <w:szCs w:val="24"/>
      <w:lang w:val="vi-VN" w:eastAsia="zh-CN" w:bidi="hi-IN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16</TotalTime>
  <ScaleCrop>false</ScaleCrop>
  <LinksUpToDate>false</LinksUpToDate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2023-01-06T00:46:00Z</dcterms:created>
  <dc:creator>Hanh Asia Relocation</dc:creator>
  <cp:lastModifiedBy>Hanh Asia Relocation Vietnam</cp:lastModifiedBy>
  <cp:lastPrinted>2024-06-27T08:24:00Z</cp:lastPrinted>
  <dcterms:modified xsi:type="dcterms:W3CDTF">2024-09-06T08:35:43Z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FBEDD085DF9742759F783A03E82FB8EA</vt:lpwstr>
  </property>
</Properties>
</file>