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0503" w14:textId="60233885" w:rsidR="00E85B66" w:rsidRPr="00306ED7" w:rsidRDefault="00E7422D" w:rsidP="00E7422D">
      <w:pPr>
        <w:jc w:val="right"/>
        <w:rPr>
          <w:rFonts w:asciiTheme="minorBidi" w:hAnsiTheme="minorBidi"/>
          <w:u w:val="single"/>
        </w:rPr>
      </w:pPr>
      <w:r w:rsidRPr="00472B5B">
        <w:rPr>
          <w:rFonts w:asciiTheme="minorBidi" w:hAnsiTheme="minorBidi"/>
          <w:sz w:val="24"/>
          <w:szCs w:val="24"/>
          <w:u w:val="single"/>
        </w:rPr>
        <w:t>Notes:</w:t>
      </w:r>
    </w:p>
    <w:p w14:paraId="0BCFDD81" w14:textId="77777777" w:rsidR="008D170C" w:rsidRDefault="008D170C" w:rsidP="00472B5B">
      <w:pPr>
        <w:ind w:left="1799"/>
        <w:jc w:val="right"/>
        <w:rPr>
          <w:rFonts w:asciiTheme="minorBidi" w:hAnsiTheme="minorBidi"/>
          <w:b/>
          <w:bCs/>
        </w:rPr>
      </w:pPr>
    </w:p>
    <w:p w14:paraId="404C4226" w14:textId="583BDE66" w:rsidR="00E7422D" w:rsidRDefault="00E7422D" w:rsidP="00472B5B">
      <w:pPr>
        <w:ind w:left="1799"/>
        <w:jc w:val="right"/>
        <w:rPr>
          <w:rFonts w:asciiTheme="minorBidi" w:hAnsiTheme="minorBidi"/>
        </w:rPr>
      </w:pPr>
      <w:r w:rsidRPr="00306ED7">
        <w:rPr>
          <w:rFonts w:asciiTheme="minorBidi" w:hAnsiTheme="minorBidi" w:hint="cs"/>
          <w:b/>
          <w:bCs/>
        </w:rPr>
        <w:t>E</w:t>
      </w:r>
      <w:r w:rsidRPr="00306ED7">
        <w:rPr>
          <w:rFonts w:asciiTheme="minorBidi" w:hAnsiTheme="minorBidi"/>
          <w:b/>
          <w:bCs/>
        </w:rPr>
        <w:t>xport haulage</w:t>
      </w:r>
      <w:r w:rsidR="00472B5B" w:rsidRPr="00306ED7">
        <w:rPr>
          <w:rFonts w:asciiTheme="minorBidi" w:hAnsiTheme="minorBidi"/>
        </w:rPr>
        <w:t>-to-Port/Airport</w:t>
      </w:r>
      <w:r w:rsidRPr="00306ED7">
        <w:rPr>
          <w:rFonts w:asciiTheme="minorBidi" w:hAnsiTheme="minorBidi"/>
        </w:rPr>
        <w:t xml:space="preserve"> rates are NOT included</w:t>
      </w:r>
      <w:r w:rsidR="00472B5B" w:rsidRPr="00306ED7">
        <w:rPr>
          <w:rFonts w:asciiTheme="minorBidi" w:hAnsiTheme="minorBidi"/>
        </w:rPr>
        <w:t xml:space="preserve"> in the rate quoted.  By request, surface haulage is included in the all-inclusive shipping rate (haulage + sea or air shipping)</w:t>
      </w:r>
    </w:p>
    <w:p w14:paraId="7E3AF5A8" w14:textId="74E1A698" w:rsidR="00306ED7" w:rsidRDefault="00306ED7" w:rsidP="00472B5B">
      <w:pPr>
        <w:ind w:left="1799"/>
        <w:jc w:val="right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Best POE</w:t>
      </w:r>
      <w:r w:rsidRPr="00306ED7">
        <w:rPr>
          <w:rFonts w:asciiTheme="minorBidi" w:hAnsiTheme="minorBidi"/>
        </w:rPr>
        <w:t>:</w:t>
      </w:r>
      <w:r>
        <w:rPr>
          <w:rFonts w:asciiTheme="minorBidi" w:hAnsiTheme="minorBidi"/>
        </w:rPr>
        <w:t xml:space="preserve">  Rijeka, Croatia</w:t>
      </w:r>
    </w:p>
    <w:p w14:paraId="0FC10DA2" w14:textId="7C34AF6D" w:rsidR="00306ED7" w:rsidRDefault="00306ED7" w:rsidP="00472B5B">
      <w:pPr>
        <w:ind w:left="1799"/>
        <w:jc w:val="right"/>
        <w:rPr>
          <w:rFonts w:asciiTheme="minorBidi" w:hAnsiTheme="minorBidi"/>
        </w:rPr>
      </w:pPr>
    </w:p>
    <w:p w14:paraId="0C3AF5EA" w14:textId="7A811FD9" w:rsidR="00306ED7" w:rsidRDefault="00306ED7" w:rsidP="00306ED7">
      <w:pPr>
        <w:ind w:left="1799"/>
        <w:jc w:val="right"/>
        <w:rPr>
          <w:rFonts w:asciiTheme="minorBidi" w:hAnsiTheme="minorBidi"/>
          <w:u w:val="single"/>
        </w:rPr>
      </w:pPr>
      <w:r w:rsidRPr="00306ED7">
        <w:rPr>
          <w:rFonts w:asciiTheme="minorBidi" w:hAnsiTheme="minorBidi"/>
          <w:u w:val="single"/>
        </w:rPr>
        <w:t>Inclusions</w:t>
      </w:r>
      <w:r w:rsidR="00B547FB">
        <w:rPr>
          <w:rFonts w:asciiTheme="minorBidi" w:hAnsiTheme="minorBidi"/>
          <w:u w:val="single"/>
        </w:rPr>
        <w:t xml:space="preserve"> for Destination rates:</w:t>
      </w:r>
    </w:p>
    <w:p w14:paraId="30401B01" w14:textId="1AAB30B0" w:rsidR="00306ED7" w:rsidRDefault="00B547FB" w:rsidP="00306ED7">
      <w:pPr>
        <w:ind w:left="1799"/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</w:rPr>
        <w:t>DTHC</w:t>
      </w:r>
    </w:p>
    <w:p w14:paraId="3477A1FC" w14:textId="0C8E919B" w:rsidR="00B547FB" w:rsidRDefault="00B547FB" w:rsidP="00306ED7">
      <w:pPr>
        <w:ind w:left="1799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Haulage of container to Belgrade residence (within 50 km)</w:t>
      </w:r>
    </w:p>
    <w:p w14:paraId="5474A5CD" w14:textId="33D5F890" w:rsidR="00B547FB" w:rsidRDefault="00B547FB" w:rsidP="00306ED7">
      <w:pPr>
        <w:ind w:left="1799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Customs clearance</w:t>
      </w:r>
    </w:p>
    <w:p w14:paraId="32AD6C87" w14:textId="2FFAF005" w:rsidR="00B547FB" w:rsidRDefault="00B547FB" w:rsidP="00306ED7">
      <w:pPr>
        <w:ind w:left="1799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Warehouse handling</w:t>
      </w:r>
    </w:p>
    <w:p w14:paraId="48D6AFCE" w14:textId="6F235051" w:rsidR="00B547FB" w:rsidRDefault="00B547FB" w:rsidP="00306ED7">
      <w:pPr>
        <w:ind w:left="1799"/>
        <w:jc w:val="right"/>
        <w:rPr>
          <w:rFonts w:asciiTheme="minorBidi" w:hAnsiTheme="minorBidi"/>
        </w:rPr>
      </w:pPr>
    </w:p>
    <w:p w14:paraId="38CD3581" w14:textId="46D6F88D" w:rsidR="00B547FB" w:rsidRPr="00B547FB" w:rsidRDefault="00B547FB" w:rsidP="00306ED7">
      <w:pPr>
        <w:ind w:left="1799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See attached </w:t>
      </w:r>
      <w:r w:rsidRPr="00B547FB">
        <w:rPr>
          <w:rFonts w:asciiTheme="minorBidi" w:hAnsiTheme="minorBidi"/>
          <w:b/>
          <w:bCs/>
        </w:rPr>
        <w:t>customs regulations.</w:t>
      </w:r>
    </w:p>
    <w:sectPr w:rsidR="00B547FB" w:rsidRPr="00B547FB" w:rsidSect="009939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5516"/>
    <w:multiLevelType w:val="hybridMultilevel"/>
    <w:tmpl w:val="CAAE16F8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" w15:restartNumberingAfterBreak="0">
    <w:nsid w:val="2CC82705"/>
    <w:multiLevelType w:val="hybridMultilevel"/>
    <w:tmpl w:val="344EF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C00E54"/>
    <w:multiLevelType w:val="hybridMultilevel"/>
    <w:tmpl w:val="9CF6F6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C5CBB"/>
    <w:multiLevelType w:val="hybridMultilevel"/>
    <w:tmpl w:val="817A9B18"/>
    <w:lvl w:ilvl="0" w:tplc="0409000F">
      <w:start w:val="1"/>
      <w:numFmt w:val="decimal"/>
      <w:lvlText w:val="%1."/>
      <w:lvlJc w:val="left"/>
      <w:pPr>
        <w:ind w:left="251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4" w15:restartNumberingAfterBreak="0">
    <w:nsid w:val="43BB1217"/>
    <w:multiLevelType w:val="hybridMultilevel"/>
    <w:tmpl w:val="6D22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B5EF7"/>
    <w:multiLevelType w:val="hybridMultilevel"/>
    <w:tmpl w:val="CFEAF0C6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6" w15:restartNumberingAfterBreak="0">
    <w:nsid w:val="78023D4B"/>
    <w:multiLevelType w:val="hybridMultilevel"/>
    <w:tmpl w:val="494445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32"/>
    <w:rsid w:val="00306ED7"/>
    <w:rsid w:val="003B6D8A"/>
    <w:rsid w:val="00472B5B"/>
    <w:rsid w:val="005E4B43"/>
    <w:rsid w:val="008D170C"/>
    <w:rsid w:val="00993916"/>
    <w:rsid w:val="00B547FB"/>
    <w:rsid w:val="00DF6E32"/>
    <w:rsid w:val="00E7422D"/>
    <w:rsid w:val="00E8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FC07"/>
  <w15:chartTrackingRefBased/>
  <w15:docId w15:val="{831E525C-88D0-4162-8B1F-363BD561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3</cp:revision>
  <dcterms:created xsi:type="dcterms:W3CDTF">2021-12-01T10:12:00Z</dcterms:created>
  <dcterms:modified xsi:type="dcterms:W3CDTF">2021-12-01T10:20:00Z</dcterms:modified>
</cp:coreProperties>
</file>