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Shipping &amp; Importation Services</w:t>
      </w:r>
    </w:p>
    <w:p>
      <w:pPr>
        <w:pStyle w:val="Heading1"/>
      </w:pPr>
      <w:r>
        <w:t xml:space="preserve">For Seafreight Shipments</w:t>
      </w:r>
    </w:p>
    <w:p>
      <w:pPr>
        <w:pStyle w:val="Heading2"/>
      </w:pPr>
      <w:r>
        <w:t xml:space="preserve">Rates Include:</w:t>
      </w:r>
    </w:p>
    <w:p>
      <w:pPr>
        <w:pStyle w:val="ListParagraph"/>
        <w:numPr>
          <w:ilvl w:val="0"/>
          <w:numId w:val="2"/>
        </w:numPr>
      </w:pPr>
      <w:r>
        <w:t xml:space="preserve">Destination customs clearance, payment of Kampala terminal handling fees</w:t>
      </w:r>
    </w:p>
    <w:p>
      <w:pPr>
        <w:pStyle w:val="ListParagraph"/>
        <w:numPr>
          <w:ilvl w:val="0"/>
          <w:numId w:val="2"/>
        </w:numPr>
      </w:pPr>
      <w:r>
        <w:t xml:space="preserve">Offloading, unpacking, set-up, removal of debris – same day</w:t>
      </w:r>
    </w:p>
    <w:p>
      <w:pPr>
        <w:pStyle w:val="ListParagraph"/>
        <w:numPr>
          <w:ilvl w:val="0"/>
          <w:numId w:val="2"/>
        </w:numPr>
      </w:pPr>
      <w:r>
        <w:t xml:space="preserve">Turn in of empty container – Kampala Terminal</w:t>
      </w:r>
    </w:p>
    <w:p>
      <w:pPr>
        <w:spacing w:before="120"/>
      </w:pPr>
    </w:p>
    <w:p>
      <w:pPr>
        <w:pStyle w:val="Heading2"/>
      </w:pPr>
      <w:r>
        <w:t xml:space="preserve">Rates Exclude:</w:t>
      </w:r>
    </w:p>
    <w:p>
      <w:pPr>
        <w:pStyle w:val="ListParagraph"/>
        <w:numPr>
          <w:ilvl w:val="0"/>
          <w:numId w:val="2"/>
        </w:numPr>
      </w:pPr>
      <w:r>
        <w:t xml:space="preserve">Storage and demurrage charges, payments in transit (if any)</w:t>
      </w:r>
    </w:p>
    <w:p>
      <w:pPr>
        <w:pStyle w:val="ListParagraph"/>
        <w:numPr>
          <w:ilvl w:val="0"/>
          <w:numId w:val="2"/>
        </w:numPr>
      </w:pPr>
      <w:r>
        <w:t xml:space="preserve">Taxes, duties – if any, to be passed on to client as assessed</w:t>
      </w:r>
    </w:p>
    <w:p>
      <w:pPr>
        <w:pStyle w:val="ListParagraph"/>
        <w:numPr>
          <w:ilvl w:val="0"/>
          <w:numId w:val="2"/>
        </w:numPr>
      </w:pPr>
      <w:r>
        <w:t xml:space="preserve">Delivery to second residence or abnormal access</w:t>
      </w:r>
    </w:p>
    <w:p>
      <w:pPr>
        <w:pStyle w:val="ListParagraph"/>
        <w:numPr>
          <w:ilvl w:val="0"/>
          <w:numId w:val="2"/>
        </w:numPr>
      </w:pPr>
      <w:r>
        <w:t xml:space="preserve">Hazardous, perishable or out of gauge shipments</w:t>
      </w:r>
    </w:p>
    <w:p>
      <w:pPr>
        <w:pStyle w:val="ListParagraph"/>
        <w:numPr>
          <w:ilvl w:val="0"/>
          <w:numId w:val="2"/>
        </w:numPr>
      </w:pPr>
      <w:r>
        <w:t xml:space="preserve">Long carry beyond 50 meters, stair carry above 2nd floor, outside elevator</w:t>
      </w:r>
    </w:p>
    <w:p>
      <w:pPr>
        <w:spacing w:before="120"/>
      </w:pPr>
    </w:p>
    <w:p>
      <w:pPr>
        <w:pStyle w:val="Heading2"/>
      </w:pPr>
      <w:r>
        <w:t xml:space="preserve">Importation Regulations and Requirements</w:t>
      </w:r>
    </w:p>
    <w:p>
      <w:pPr>
        <w:pStyle w:val="ListParagraph"/>
        <w:numPr>
          <w:ilvl w:val="0"/>
          <w:numId w:val="3"/>
        </w:numPr>
      </w:pPr>
      <w:r>
        <w:t xml:space="preserve">Ministry of Foreign Affairs clearance for Diplomatic Shipments.</w:t>
      </w:r>
    </w:p>
    <w:p>
      <w:pPr>
        <w:pStyle w:val="ListParagraph"/>
        <w:numPr>
          <w:ilvl w:val="0"/>
          <w:numId w:val="3"/>
        </w:numPr>
      </w:pPr>
      <w:r>
        <w:t xml:space="preserve">Expatriates should have Uganda work permit / Returning citizens should have proof of having lived outside the country for at least a year.</w:t>
      </w:r>
    </w:p>
    <w:p>
      <w:pPr>
        <w:pStyle w:val="ListParagraph"/>
        <w:numPr>
          <w:ilvl w:val="0"/>
          <w:numId w:val="3"/>
        </w:numPr>
      </w:pPr>
      <w:r>
        <w:t xml:space="preserve">Keys for locked cases/trunks for non-diplomatic shipments.</w:t>
      </w:r>
    </w:p>
    <w:p>
      <w:pPr>
        <w:pStyle w:val="ListParagraph"/>
        <w:numPr>
          <w:ilvl w:val="0"/>
          <w:numId w:val="3"/>
        </w:numPr>
      </w:pPr>
      <w:r>
        <w:t xml:space="preserve">Client’s Tax Identification Number (Uganda TIN number).</w:t>
      </w:r>
    </w:p>
    <w:p>
      <w:pPr>
        <w:pStyle w:val="ListParagraph"/>
        <w:numPr>
          <w:ilvl w:val="0"/>
          <w:numId w:val="3"/>
        </w:numPr>
      </w:pPr>
      <w:r>
        <w:t xml:space="preserve">Consignee must be resident in Uganda at the time of arrival of goods.</w:t>
      </w:r>
    </w:p>
    <w:p>
      <w:pPr>
        <w:pStyle w:val="ListParagraph"/>
        <w:numPr>
          <w:ilvl w:val="0"/>
          <w:numId w:val="3"/>
        </w:numPr>
      </w:pPr>
      <w:r>
        <w:t xml:space="preserve">Packing list/invoice written in English with values in US dollars per item.</w:t>
      </w:r>
    </w:p>
    <w:p>
      <w:pPr>
        <w:pStyle w:val="ListParagraph"/>
        <w:numPr>
          <w:ilvl w:val="0"/>
          <w:numId w:val="3"/>
        </w:numPr>
      </w:pPr>
      <w:r>
        <w:t xml:space="preserve">Seaway bill and packing list with values per item at least two weeks before ship docks Mombasa port.</w:t>
      </w:r>
    </w:p>
    <w:p>
      <w:pPr>
        <w:spacing w:before="200"/>
      </w:pPr>
    </w:p>
    <w:p>
      <w:pPr>
        <w:pStyle w:val="Heading1"/>
      </w:pPr>
      <w:r>
        <w:t xml:space="preserve">For Airfreight Shipments</w:t>
      </w:r>
    </w:p>
    <w:p>
      <w:pPr>
        <w:pStyle w:val="Heading2"/>
      </w:pPr>
      <w:r>
        <w:t xml:space="preserve">Destination Rates Include:</w:t>
      </w:r>
    </w:p>
    <w:p>
      <w:pPr>
        <w:pStyle w:val="ListParagraph"/>
        <w:numPr>
          <w:ilvl w:val="0"/>
          <w:numId w:val="2"/>
        </w:numPr>
      </w:pPr>
      <w:r>
        <w:t xml:space="preserve">Acceptance/receipt of consignment at Entebbe Airport</w:t>
      </w:r>
    </w:p>
    <w:p>
      <w:pPr>
        <w:pStyle w:val="ListParagraph"/>
        <w:numPr>
          <w:ilvl w:val="0"/>
          <w:numId w:val="2"/>
        </w:numPr>
      </w:pPr>
      <w:r>
        <w:t xml:space="preserve">Settlement of terminal handling fees at $0.15/kg</w:t>
      </w:r>
    </w:p>
    <w:p>
      <w:pPr>
        <w:pStyle w:val="ListParagraph"/>
        <w:numPr>
          <w:ilvl w:val="0"/>
          <w:numId w:val="2"/>
        </w:numPr>
      </w:pPr>
      <w:r>
        <w:t xml:space="preserve">Local documentation and customs clearance, delivery to residence within Kampala/Entebbe city limits</w:t>
      </w:r>
    </w:p>
    <w:p>
      <w:pPr>
        <w:pStyle w:val="ListParagraph"/>
        <w:numPr>
          <w:ilvl w:val="0"/>
          <w:numId w:val="2"/>
        </w:numPr>
      </w:pPr>
      <w:r>
        <w:t xml:space="preserve">Unpacking/set-up and removal of debris – same day (if required)</w:t>
      </w:r>
    </w:p>
    <w:p>
      <w:pPr>
        <w:spacing w:before="120"/>
      </w:pPr>
    </w:p>
    <w:p>
      <w:pPr>
        <w:pStyle w:val="Heading2"/>
      </w:pPr>
      <w:r>
        <w:t xml:space="preserve">Excludes:</w:t>
      </w:r>
    </w:p>
    <w:p>
      <w:pPr>
        <w:pStyle w:val="ListParagraph"/>
        <w:numPr>
          <w:ilvl w:val="0"/>
          <w:numId w:val="2"/>
        </w:numPr>
      </w:pPr>
      <w:r>
        <w:t xml:space="preserve">Airport storage and demurrage at $0.05/kg after three free days</w:t>
      </w:r>
    </w:p>
    <w:p>
      <w:pPr>
        <w:pStyle w:val="ListParagraph"/>
        <w:numPr>
          <w:ilvl w:val="0"/>
          <w:numId w:val="2"/>
        </w:numPr>
      </w:pPr>
      <w:r>
        <w:t xml:space="preserve">Taxes/duties – if any, delivery to second residence or abnormal access</w:t>
      </w:r>
    </w:p>
    <w:p>
      <w:pPr>
        <w:pStyle w:val="ListParagraph"/>
        <w:numPr>
          <w:ilvl w:val="0"/>
          <w:numId w:val="2"/>
        </w:numPr>
      </w:pPr>
      <w:r>
        <w:t xml:space="preserve">Insurance – should be obtained at point of origin; hazardous, perishable or out of gauge shipments</w:t>
      </w:r>
    </w:p>
    <w:p>
      <w:pPr>
        <w:spacing w:before="200"/>
      </w:pPr>
    </w:p>
    <w:p>
      <w:pPr>
        <w:pStyle w:val="Heading1"/>
      </w:pPr>
      <w:r>
        <w:t xml:space="preserve">Vehicle/Motorcycle Importation Requirements</w:t>
      </w:r>
    </w:p>
    <w:p>
      <w:pPr>
        <w:pStyle w:val="ListParagraph"/>
        <w:numPr>
          <w:ilvl w:val="0"/>
          <w:numId w:val="3"/>
        </w:numPr>
      </w:pPr>
      <w:r>
        <w:t xml:space="preserve">Vehicles/motorcycles must not be more than 15 years old from the date of shipping.</w:t>
      </w:r>
    </w:p>
    <w:p>
      <w:pPr>
        <w:pStyle w:val="ListParagraph"/>
        <w:numPr>
          <w:ilvl w:val="0"/>
          <w:numId w:val="3"/>
        </w:numPr>
      </w:pPr>
      <w:r>
        <w:t xml:space="preserve">A packing list must be provided, including the vehicle with values listed in US dollars per item.</w:t>
      </w:r>
    </w:p>
    <w:p>
      <w:pPr>
        <w:pStyle w:val="ListParagraph"/>
        <w:numPr>
          <w:ilvl w:val="0"/>
          <w:numId w:val="3"/>
        </w:numPr>
      </w:pPr>
      <w:r>
        <w:t xml:space="preserve">Car/motorcycle de-registration book is required.</w:t>
      </w:r>
    </w:p>
    <w:p>
      <w:pPr>
        <w:pStyle w:val="ListParagraph"/>
        <w:numPr>
          <w:ilvl w:val="0"/>
          <w:numId w:val="3"/>
        </w:numPr>
      </w:pPr>
      <w:r>
        <w:t xml:space="preserve">Vehicles/motorcycles may be subject to Interpol verification at the consignee’s cost to ensure they are not stolen prior to registration.</w:t>
      </w:r>
    </w:p>
    <w:p>
      <w:pPr>
        <w:pStyle w:val="ListParagraph"/>
        <w:numPr>
          <w:ilvl w:val="0"/>
          <w:numId w:val="3"/>
        </w:numPr>
      </w:pPr>
      <w:r>
        <w:t xml:space="preserve">The number of items and vehicle details must appear on the Bill of Lading.</w:t>
      </w:r>
    </w:p>
    <w:p>
      <w:pPr>
        <w:pStyle w:val="ListParagraph"/>
        <w:numPr>
          <w:ilvl w:val="0"/>
          <w:numId w:val="3"/>
        </w:numPr>
      </w:pPr>
      <w:r>
        <w:t xml:space="preserve">The seaway bill, registration/de-registration documents, and the packing list with values must be provided at least two weeks before the ship docks at Mombasa port.</w:t>
      </w:r>
    </w:p>
    <w:p>
      <w:pPr>
        <w:pStyle w:val="ListParagraph"/>
        <w:numPr>
          <w:ilvl w:val="0"/>
          <w:numId w:val="3"/>
        </w:numPr>
      </w:pPr>
      <w:r>
        <w:t xml:space="preserve">The consignee must be in the country and available for a customs interview if deemed necessary by customs officials.</w:t>
      </w:r>
    </w:p>
    <w:p>
      <w:pPr>
        <w:spacing w:before="200"/>
      </w:pPr>
    </w:p>
    <w:p>
      <w:pPr>
        <w:pStyle w:val="Heading1"/>
      </w:pPr>
      <w:r>
        <w:t xml:space="preserve">Importation Regulations and Requirements</w:t>
      </w:r>
    </w:p>
    <w:p>
      <w:pPr>
        <w:pStyle w:val="ListParagraph"/>
        <w:numPr>
          <w:ilvl w:val="0"/>
          <w:numId w:val="3"/>
        </w:numPr>
      </w:pPr>
      <w:r>
        <w:t xml:space="preserve">Ministry of Foreign Affairs clearance for Diplomatic Shipments; work/residence permit for expatriates; proof of having lived outside the country for returning citizens.</w:t>
      </w:r>
    </w:p>
    <w:p>
      <w:pPr>
        <w:pStyle w:val="ListParagraph"/>
        <w:numPr>
          <w:ilvl w:val="0"/>
          <w:numId w:val="3"/>
        </w:numPr>
      </w:pPr>
      <w:r>
        <w:t xml:space="preserve">Comprehensive packing inventory written in English, detailing values in USD.</w:t>
      </w:r>
    </w:p>
    <w:p>
      <w:pPr>
        <w:pStyle w:val="ListParagraph"/>
        <w:numPr>
          <w:ilvl w:val="0"/>
          <w:numId w:val="3"/>
        </w:numPr>
      </w:pPr>
      <w:r>
        <w:t xml:space="preserve">Keys for locked cases/trunks (for non-diplomatic shipments).</w:t>
      </w:r>
    </w:p>
    <w:p>
      <w:pPr>
        <w:pStyle w:val="ListParagraph"/>
        <w:numPr>
          <w:ilvl w:val="0"/>
          <w:numId w:val="3"/>
        </w:numPr>
      </w:pPr>
      <w:r>
        <w:t xml:space="preserve">Client’s Tax Identification Number (Uganda TIN number).</w:t>
      </w:r>
    </w:p>
    <w:p>
      <w:pPr>
        <w:pStyle w:val="ListParagraph"/>
        <w:numPr>
          <w:ilvl w:val="0"/>
          <w:numId w:val="3"/>
        </w:numPr>
      </w:pPr>
      <w:r>
        <w:t xml:space="preserve">Client must be in the country before arrival of the shipment and ready to attend a customs interview.</w:t>
      </w:r>
    </w:p>
    <w:p>
      <w:pPr>
        <w:spacing w:before="200"/>
      </w:pPr>
    </w:p>
    <w:p>
      <w:pPr>
        <w:pStyle w:val="Heading1"/>
      </w:pPr>
      <w:r>
        <w:t xml:space="preserve">Additional Remarks / Terms of Service</w:t>
      </w:r>
    </w:p>
    <w:p>
      <w:pPr>
        <w:spacing w:after="200"/>
      </w:pPr>
      <w:r>
        <w:t xml:space="preserve">Pre-payment will be required for non-account holders.</w:t>
      </w:r>
    </w:p>
    <w:p>
      <w:pPr>
        <w:pStyle w:val="Heading1"/>
      </w:pPr>
      <w:r>
        <w:t xml:space="preserve">Contact Information</w:t>
      </w:r>
    </w:p>
    <w:p>
      <w:r>
        <w:rPr>
          <w:b/>
          <w:bCs/>
        </w:rPr>
        <w:t xml:space="preserve">Name: </w:t>
      </w:r>
      <w:r>
        <w:t xml:space="preserve">Henry Kasoma (Mr)</w:t>
      </w:r>
    </w:p>
    <w:p>
      <w:r>
        <w:rPr>
          <w:b/>
          <w:bCs/>
        </w:rPr>
        <w:t xml:space="preserve">Phone: </w:t>
      </w:r>
      <w:r>
        <w:t xml:space="preserve">+256 752 666619</w:t>
      </w:r>
    </w:p>
    <w:p>
      <w:r>
        <w:rPr>
          <w:b/>
          <w:bCs/>
        </w:rPr>
        <w:t xml:space="preserve">Email: </w:t>
      </w:r>
      <w:r>
        <w:t xml:space="preserve">henry@nellions.co.ug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Arial" w:cs="Arial" w:eastAsia="Arial" w:hAnsi="Arial"/>
      <w:b/>
      <w:bCs/>
      <w:color w:val="2E549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2026-02-25T08:55:30.899Z</dcterms:created>
  <dcterms:modified xsi:type="dcterms:W3CDTF">2026-02-25T08:55:30.900Z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