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0F6022E" w:rsidP="60F6022E" w:rsidRDefault="60F6022E" w14:paraId="4622A784" w14:textId="2D5185FA">
      <w:pPr>
        <w:rPr>
          <w:b w:val="1"/>
          <w:bCs w:val="1"/>
          <w:u w:val="single"/>
        </w:rPr>
      </w:pPr>
    </w:p>
    <w:p w:rsidR="60F6022E" w:rsidP="60F6022E" w:rsidRDefault="60F6022E" w14:paraId="1D62A81F" w14:textId="6D894162">
      <w:pPr>
        <w:rPr>
          <w:b w:val="1"/>
          <w:bCs w:val="1"/>
          <w:u w:val="single"/>
        </w:rPr>
      </w:pPr>
    </w:p>
    <w:p xmlns:wp14="http://schemas.microsoft.com/office/word/2010/wordml" w:rsidP="60F6022E" wp14:paraId="2C078E63" wp14:textId="26C1F6DA">
      <w:pPr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60F6022E" w:rsidR="60F6022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Rates </w:t>
      </w:r>
      <w:r w:rsidRPr="60F6022E" w:rsidR="60F6022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Include</w:t>
      </w:r>
    </w:p>
    <w:p w:rsidR="60F6022E" w:rsidP="60F6022E" w:rsidRDefault="60F6022E" w14:paraId="5482CA6F" w14:textId="574B3B37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Import customs clearance</w:t>
      </w:r>
    </w:p>
    <w:p w:rsidR="60F6022E" w:rsidP="60F6022E" w:rsidRDefault="60F6022E" w14:paraId="669D5FCA" w14:textId="3D6F9C1B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Import customs formalities</w:t>
      </w:r>
    </w:p>
    <w:p w:rsidR="60F6022E" w:rsidP="60F6022E" w:rsidRDefault="60F6022E" w14:paraId="653347BA" w14:textId="417C02FA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Delivery to residence (up to 2</w:t>
      </w:r>
      <w:r w:rsidRPr="60F6022E" w:rsidR="60F6022E">
        <w:rPr>
          <w:rFonts w:ascii="Arial" w:hAnsi="Arial" w:eastAsia="Arial" w:cs="Arial"/>
          <w:sz w:val="24"/>
          <w:szCs w:val="24"/>
          <w:vertAlign w:val="superscript"/>
        </w:rPr>
        <w:t>nd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floor)</w:t>
      </w:r>
    </w:p>
    <w:p w:rsidR="60F6022E" w:rsidP="60F6022E" w:rsidRDefault="60F6022E" w14:paraId="4D40F869" w14:textId="678A4691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Unloading, unpacking of carton onto a fat surface and removal of debris</w:t>
      </w:r>
    </w:p>
    <w:p w:rsidR="60F6022E" w:rsidP="60F6022E" w:rsidRDefault="60F6022E" w14:paraId="59956689" w14:textId="7086BBD3">
      <w:pPr>
        <w:pStyle w:val="Normal"/>
        <w:rPr>
          <w:rFonts w:ascii="Arial" w:hAnsi="Arial" w:eastAsia="Arial" w:cs="Arial"/>
          <w:sz w:val="24"/>
          <w:szCs w:val="24"/>
        </w:rPr>
      </w:pPr>
    </w:p>
    <w:p w:rsidR="60F6022E" w:rsidP="60F6022E" w:rsidRDefault="60F6022E" w14:paraId="4031BA96" w14:textId="58BBF920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60F6022E" w:rsidR="60F6022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Rates Exclude</w:t>
      </w:r>
    </w:p>
    <w:p w:rsidR="60F6022E" w:rsidP="60F6022E" w:rsidRDefault="60F6022E" w14:paraId="0393146C" w14:textId="453C9C61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DTHC</w:t>
      </w:r>
    </w:p>
    <w:p w:rsidR="60F6022E" w:rsidP="60F6022E" w:rsidRDefault="60F6022E" w14:paraId="5981C85E" w14:textId="1A2EC9A0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Demurrage &amp; detention</w:t>
      </w:r>
    </w:p>
    <w:p w:rsidR="60F6022E" w:rsidP="60F6022E" w:rsidRDefault="60F6022E" w14:paraId="49FD3F3E" w14:textId="30F92448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Insurance</w:t>
      </w:r>
    </w:p>
    <w:p w:rsidR="60F6022E" w:rsidP="60F6022E" w:rsidRDefault="60F6022E" w14:paraId="47EE9EF4" w14:textId="50B8C135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NVOCC/</w:t>
      </w:r>
      <w:r w:rsidRPr="60F6022E" w:rsidR="60F6022E">
        <w:rPr>
          <w:rFonts w:ascii="Arial" w:hAnsi="Arial" w:eastAsia="Arial" w:cs="Arial"/>
          <w:sz w:val="24"/>
          <w:szCs w:val="24"/>
        </w:rPr>
        <w:t>deconsolidation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fee for LCL</w:t>
      </w:r>
    </w:p>
    <w:p w:rsidR="60F6022E" w:rsidP="60F6022E" w:rsidRDefault="60F6022E" w14:paraId="76353EAD" w14:textId="3015317B">
      <w:pPr>
        <w:pStyle w:val="Normal"/>
        <w:rPr>
          <w:rFonts w:ascii="Arial" w:hAnsi="Arial" w:eastAsia="Arial" w:cs="Arial"/>
          <w:sz w:val="24"/>
          <w:szCs w:val="24"/>
        </w:rPr>
      </w:pPr>
    </w:p>
    <w:p w:rsidR="60F6022E" w:rsidP="60F6022E" w:rsidRDefault="60F6022E" w14:paraId="33F0FFA9" w14:textId="01382731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60F6022E" w:rsidR="60F6022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Additional Services</w:t>
      </w:r>
    </w:p>
    <w:p w:rsidR="60F6022E" w:rsidP="60F6022E" w:rsidRDefault="60F6022E" w14:paraId="05937A51" w14:textId="35959989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 xml:space="preserve">Shuttle Service </w:t>
      </w:r>
      <w:r>
        <w:tab/>
      </w:r>
      <w:r>
        <w:tab/>
      </w:r>
      <w:r w:rsidRPr="60F6022E" w:rsidR="60F6022E">
        <w:rPr>
          <w:rFonts w:ascii="Arial" w:hAnsi="Arial" w:eastAsia="Arial" w:cs="Arial"/>
          <w:sz w:val="24"/>
          <w:szCs w:val="24"/>
        </w:rPr>
        <w:t>$100</w:t>
      </w:r>
    </w:p>
    <w:p w:rsidR="60F6022E" w:rsidP="60F6022E" w:rsidRDefault="60F6022E" w14:paraId="1D92F4A7" w14:textId="7D935B09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 xml:space="preserve">Upright piano </w:t>
      </w:r>
      <w:r>
        <w:tab/>
      </w:r>
      <w:r>
        <w:tab/>
      </w:r>
      <w:r w:rsidRPr="60F6022E" w:rsidR="60F6022E">
        <w:rPr>
          <w:rFonts w:ascii="Arial" w:hAnsi="Arial" w:eastAsia="Arial" w:cs="Arial"/>
          <w:sz w:val="24"/>
          <w:szCs w:val="24"/>
        </w:rPr>
        <w:t>$200</w:t>
      </w:r>
    </w:p>
    <w:p w:rsidR="60F6022E" w:rsidP="60F6022E" w:rsidRDefault="60F6022E" w14:paraId="0C9BE1F8" w14:textId="590A9A93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 xml:space="preserve">Baby grand piano </w:t>
      </w:r>
      <w:r>
        <w:tab/>
      </w:r>
      <w:r>
        <w:tab/>
      </w:r>
      <w:r w:rsidRPr="60F6022E" w:rsidR="60F6022E">
        <w:rPr>
          <w:rFonts w:ascii="Arial" w:hAnsi="Arial" w:eastAsia="Arial" w:cs="Arial"/>
          <w:sz w:val="24"/>
          <w:szCs w:val="24"/>
        </w:rPr>
        <w:t>$130</w:t>
      </w:r>
    </w:p>
    <w:p w:rsidR="60F6022E" w:rsidP="60F6022E" w:rsidRDefault="60F6022E" w14:paraId="438AE3F3" w14:textId="3A027509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Vehicles</w:t>
      </w:r>
      <w:r>
        <w:tab/>
      </w:r>
      <w:r>
        <w:tab/>
      </w:r>
      <w:r>
        <w:tab/>
      </w:r>
      <w:r w:rsidRPr="60F6022E" w:rsidR="60F6022E">
        <w:rPr>
          <w:rFonts w:ascii="Arial" w:hAnsi="Arial" w:eastAsia="Arial" w:cs="Arial"/>
          <w:sz w:val="24"/>
          <w:szCs w:val="24"/>
        </w:rPr>
        <w:t>$400</w:t>
      </w:r>
    </w:p>
    <w:p w:rsidR="60F6022E" w:rsidP="60F6022E" w:rsidRDefault="60F6022E" w14:paraId="20230668" w14:textId="1759CF7F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 xml:space="preserve">Stair </w:t>
      </w:r>
      <w:r w:rsidRPr="60F6022E" w:rsidR="60F6022E">
        <w:rPr>
          <w:rFonts w:ascii="Arial" w:hAnsi="Arial" w:eastAsia="Arial" w:cs="Arial"/>
          <w:sz w:val="24"/>
          <w:szCs w:val="24"/>
        </w:rPr>
        <w:t>carry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above 2</w:t>
      </w:r>
      <w:r w:rsidRPr="60F6022E" w:rsidR="60F6022E">
        <w:rPr>
          <w:rFonts w:ascii="Arial" w:hAnsi="Arial" w:eastAsia="Arial" w:cs="Arial"/>
          <w:sz w:val="24"/>
          <w:szCs w:val="24"/>
          <w:vertAlign w:val="superscript"/>
        </w:rPr>
        <w:t>nd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</w:t>
      </w:r>
      <w:r w:rsidRPr="60F6022E" w:rsidR="60F6022E">
        <w:rPr>
          <w:rFonts w:ascii="Arial" w:hAnsi="Arial" w:eastAsia="Arial" w:cs="Arial"/>
          <w:sz w:val="24"/>
          <w:szCs w:val="24"/>
        </w:rPr>
        <w:t>floor  $</w:t>
      </w:r>
      <w:r w:rsidRPr="60F6022E" w:rsidR="60F6022E">
        <w:rPr>
          <w:rFonts w:ascii="Arial" w:hAnsi="Arial" w:eastAsia="Arial" w:cs="Arial"/>
          <w:sz w:val="24"/>
          <w:szCs w:val="24"/>
        </w:rPr>
        <w:t>7 USD/floor/CBM</w:t>
      </w:r>
    </w:p>
    <w:p w:rsidR="60F6022E" w:rsidP="60F6022E" w:rsidRDefault="60F6022E" w14:paraId="4B7B9C32" w14:textId="0316062E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>Storage                               $0.65 USD/day/CBM</w:t>
      </w:r>
    </w:p>
    <w:p w:rsidR="60F6022E" w:rsidP="60F6022E" w:rsidRDefault="60F6022E" w14:paraId="729EDCF8" w14:textId="3C52DD70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60F6022E" w:rsidP="60F6022E" w:rsidRDefault="60F6022E" w14:paraId="49E74FDA" w14:textId="3C546147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60F6022E" w:rsidR="60F6022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Additional </w:t>
      </w:r>
      <w:r w:rsidRPr="60F6022E" w:rsidR="60F6022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remarks/ Terms </w:t>
      </w:r>
      <w:r w:rsidRPr="60F6022E" w:rsidR="60F6022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of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60F6022E" w:rsidP="60F6022E" w:rsidRDefault="60F6022E" w14:paraId="74F40D12" w14:textId="6C4F73E1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sz w:val="24"/>
          <w:szCs w:val="24"/>
        </w:rPr>
        <w:t xml:space="preserve">Above quote is excluding any kind of duty and taxes or any </w:t>
      </w:r>
      <w:r w:rsidRPr="60F6022E" w:rsidR="60F6022E">
        <w:rPr>
          <w:rFonts w:ascii="Arial" w:hAnsi="Arial" w:eastAsia="Arial" w:cs="Arial"/>
          <w:sz w:val="24"/>
          <w:szCs w:val="24"/>
        </w:rPr>
        <w:t>official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</w:t>
      </w:r>
      <w:r w:rsidRPr="60F6022E" w:rsidR="60F6022E">
        <w:rPr>
          <w:rFonts w:ascii="Arial" w:hAnsi="Arial" w:eastAsia="Arial" w:cs="Arial"/>
          <w:sz w:val="24"/>
          <w:szCs w:val="24"/>
        </w:rPr>
        <w:t>charges,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carpentry </w:t>
      </w:r>
      <w:r w:rsidRPr="60F6022E" w:rsidR="60F6022E">
        <w:rPr>
          <w:rFonts w:ascii="Arial" w:hAnsi="Arial" w:eastAsia="Arial" w:cs="Arial"/>
          <w:sz w:val="24"/>
          <w:szCs w:val="24"/>
        </w:rPr>
        <w:t>work,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civil and electrical work, shuttling service, </w:t>
      </w:r>
      <w:r w:rsidRPr="60F6022E" w:rsidR="60F6022E">
        <w:rPr>
          <w:rFonts w:ascii="Arial" w:hAnsi="Arial" w:eastAsia="Arial" w:cs="Arial"/>
          <w:sz w:val="24"/>
          <w:szCs w:val="24"/>
        </w:rPr>
        <w:t>handyman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</w:t>
      </w:r>
      <w:r w:rsidRPr="60F6022E" w:rsidR="60F6022E">
        <w:rPr>
          <w:rFonts w:ascii="Arial" w:hAnsi="Arial" w:eastAsia="Arial" w:cs="Arial"/>
          <w:sz w:val="24"/>
          <w:szCs w:val="24"/>
        </w:rPr>
        <w:t>service,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long carry above 2nd </w:t>
      </w:r>
      <w:r w:rsidRPr="60F6022E" w:rsidR="60F6022E">
        <w:rPr>
          <w:rFonts w:ascii="Arial" w:hAnsi="Arial" w:eastAsia="Arial" w:cs="Arial"/>
          <w:sz w:val="24"/>
          <w:szCs w:val="24"/>
        </w:rPr>
        <w:t>floor,</w:t>
      </w:r>
      <w:r w:rsidRPr="60F6022E" w:rsidR="60F6022E">
        <w:rPr>
          <w:rFonts w:ascii="Arial" w:hAnsi="Arial" w:eastAsia="Arial" w:cs="Arial"/>
          <w:sz w:val="24"/>
          <w:szCs w:val="24"/>
        </w:rPr>
        <w:t xml:space="preserve"> heavy items, storage charges and insurance.</w:t>
      </w:r>
      <w:r>
        <w:tab/>
      </w:r>
    </w:p>
    <w:p w:rsidR="60F6022E" w:rsidP="60F6022E" w:rsidRDefault="60F6022E" w14:paraId="196136FA" w14:textId="63C2CC3C">
      <w:pPr>
        <w:pStyle w:val="Normal"/>
        <w:rPr>
          <w:rFonts w:ascii="Arial" w:hAnsi="Arial" w:eastAsia="Arial" w:cs="Arial"/>
          <w:sz w:val="24"/>
          <w:szCs w:val="24"/>
        </w:rPr>
      </w:pPr>
    </w:p>
    <w:p w:rsidR="60F6022E" w:rsidP="60F6022E" w:rsidRDefault="60F6022E" w14:paraId="712AC0E9" w14:textId="196BEDF7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60F6022E" w:rsidP="60F6022E" w:rsidRDefault="60F6022E" w14:paraId="3698783C" w14:textId="5282A317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60F6022E" w:rsidR="60F6022E">
        <w:rPr>
          <w:rFonts w:ascii="Arial" w:hAnsi="Arial" w:eastAsia="Arial" w:cs="Arial"/>
          <w:b w:val="1"/>
          <w:bCs w:val="1"/>
          <w:sz w:val="24"/>
          <w:szCs w:val="24"/>
        </w:rPr>
        <w:t xml:space="preserve">Contact </w:t>
      </w:r>
    </w:p>
    <w:p w:rsidR="60F6022E" w:rsidP="60F6022E" w:rsidRDefault="60F6022E" w14:paraId="5EA51A7C" w14:textId="012F8A80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>Name :</w:t>
      </w: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 xml:space="preserve"> ASMA </w:t>
      </w:r>
    </w:p>
    <w:p w:rsidR="60F6022E" w:rsidP="60F6022E" w:rsidRDefault="60F6022E" w14:paraId="4BF9AB08" w14:textId="5749459D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+966 591545934</w:t>
      </w:r>
    </w:p>
    <w:p w:rsidR="60F6022E" w:rsidP="60F6022E" w:rsidRDefault="60F6022E" w14:paraId="4A8AEA7C" w14:textId="72E36B3C">
      <w:pPr>
        <w:pStyle w:val="Normal"/>
        <w:rPr>
          <w:rFonts w:ascii="Arial" w:hAnsi="Arial" w:eastAsia="Arial" w:cs="Arial"/>
          <w:sz w:val="24"/>
          <w:szCs w:val="24"/>
        </w:rPr>
      </w:pP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</w:t>
      </w:r>
      <w:hyperlink r:id="R031da5d24c0b4b17">
        <w:r w:rsidRPr="60F6022E" w:rsidR="60F6022E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Pricing@cargotrack.co</w:t>
        </w:r>
      </w:hyperlink>
    </w:p>
    <w:p w:rsidR="60F6022E" w:rsidP="60F6022E" w:rsidRDefault="60F6022E" w14:paraId="199CFD60" w14:textId="79D1EC19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60F6022E" w:rsidP="60F6022E" w:rsidRDefault="60F6022E" w14:paraId="5B684500" w14:textId="0824C318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ANSAR</w:t>
      </w:r>
    </w:p>
    <w:p w:rsidR="60F6022E" w:rsidP="60F6022E" w:rsidRDefault="60F6022E" w14:paraId="3C878303" w14:textId="475DF54B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+966 580593809</w:t>
      </w:r>
    </w:p>
    <w:p w:rsidR="60F6022E" w:rsidP="60F6022E" w:rsidRDefault="60F6022E" w14:paraId="625C17C8" w14:textId="6602874F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</w:t>
      </w: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>Operation@cargotrack</w:t>
      </w:r>
      <w:r w:rsidRPr="60F6022E" w:rsidR="60F6022E">
        <w:rPr>
          <w:rFonts w:ascii="Arial" w:hAnsi="Arial" w:eastAsia="Arial" w:cs="Arial"/>
          <w:b w:val="0"/>
          <w:bCs w:val="0"/>
          <w:sz w:val="24"/>
          <w:szCs w:val="24"/>
        </w:rPr>
        <w:t>.co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90"/>
      </w:tblGrid>
      <w:tr w:rsidR="60F6022E" w:rsidTr="60F6022E" w14:paraId="20584C14">
        <w:trPr>
          <w:trHeight w:val="28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F6022E" w:rsidP="60F6022E" w:rsidRDefault="60F6022E" w14:paraId="56DA944C" w14:textId="6A6D1363">
            <w:pPr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</w:tbl>
    <w:p w:rsidR="60F6022E" w:rsidP="60F6022E" w:rsidRDefault="60F6022E" w14:paraId="0FF78C20" w14:textId="463942F2">
      <w:pPr>
        <w:pStyle w:val="Normal"/>
        <w:rPr>
          <w:rFonts w:ascii="Arial" w:hAnsi="Arial" w:eastAsia="Arial" w:cs="Arial"/>
          <w:b w:val="0"/>
          <w:bCs w:val="0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110"/>
      </w:tblGrid>
      <w:tr w:rsidR="60F6022E" w:rsidTr="60F6022E" w14:paraId="34CDFCBD">
        <w:trPr>
          <w:trHeight w:val="28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F6022E" w:rsidP="60F6022E" w:rsidRDefault="60F6022E" w14:paraId="61548D50" w14:textId="268E0E2C">
            <w:pPr>
              <w:spacing w:before="0" w:beforeAutospacing="off" w:after="0" w:afterAutospacing="off"/>
              <w:ind w:left="-20" w:right="-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60F6022E" w:rsidP="60F6022E" w:rsidRDefault="60F6022E" w14:paraId="09927CDA" w14:textId="73D989C7">
      <w:pPr>
        <w:pStyle w:val="Normal"/>
        <w:rPr>
          <w:rFonts w:ascii="Arial" w:hAnsi="Arial" w:eastAsia="Arial" w:cs="Arial"/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03706"/>
    <w:rsid w:val="32103706"/>
    <w:rsid w:val="60F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3706"/>
  <w15:chartTrackingRefBased/>
  <w15:docId w15:val="{98CA8B74-F5D3-4E3F-918A-F700399D51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ricing@cargotrack.co" TargetMode="External" Id="R031da5d24c0b4b1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2024-03-17T07:48:18.8783259Z</dcterms:created>
  <dcterms:modified xsi:type="dcterms:W3CDTF">2024-03-17T08:24:24.4144234Z</dcterms:modified>
  <dc:creator>binah MoversPOE</dc:creator>
  <lastModifiedBy>binah MoversPOE</lastModifiedBy>
</coreProperties>
</file>