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01C4C" w14:textId="4B19A452" w:rsidR="00642C98" w:rsidRPr="00642C98" w:rsidRDefault="00642C98" w:rsidP="00D319A7">
      <w:pPr>
        <w:rPr>
          <w:b/>
          <w:bCs/>
          <w:color w:val="4472C4" w:themeColor="accent1"/>
          <w:sz w:val="24"/>
          <w:szCs w:val="24"/>
        </w:rPr>
      </w:pPr>
      <w:r w:rsidRPr="00642C98">
        <w:rPr>
          <w:b/>
          <w:bCs/>
          <w:color w:val="4472C4" w:themeColor="accent1"/>
          <w:sz w:val="24"/>
          <w:szCs w:val="24"/>
        </w:rPr>
        <w:t>FCL</w:t>
      </w:r>
    </w:p>
    <w:p w14:paraId="1CDEE975" w14:textId="07F637B6" w:rsidR="00642C98" w:rsidRPr="00642C98" w:rsidRDefault="00642C98" w:rsidP="00D319A7">
      <w:pPr>
        <w:rPr>
          <w:b/>
          <w:bCs/>
          <w:i/>
          <w:iCs/>
          <w:color w:val="4472C4" w:themeColor="accent1"/>
        </w:rPr>
      </w:pPr>
      <w:r w:rsidRPr="00642C98">
        <w:rPr>
          <w:b/>
          <w:bCs/>
          <w:i/>
          <w:iCs/>
          <w:color w:val="4472C4" w:themeColor="accent1"/>
        </w:rPr>
        <w:t>Inclusions</w:t>
      </w:r>
    </w:p>
    <w:p w14:paraId="41E83F22" w14:textId="653AD3DE" w:rsidR="00D319A7" w:rsidRDefault="00D319A7" w:rsidP="00D319A7">
      <w:r>
        <w:t>Our rate include</w:t>
      </w:r>
      <w:r w:rsidR="00642C98">
        <w:t>s</w:t>
      </w:r>
      <w:r>
        <w:t xml:space="preserve"> the following services</w:t>
      </w:r>
      <w:r w:rsidR="00642C98">
        <w:t>:</w:t>
      </w:r>
      <w:r>
        <w:t xml:space="preserve"> </w:t>
      </w:r>
    </w:p>
    <w:p w14:paraId="05CAC815" w14:textId="77777777" w:rsidR="00D319A7" w:rsidRDefault="00D319A7" w:rsidP="00911457">
      <w:pPr>
        <w:spacing w:after="0" w:line="360" w:lineRule="auto"/>
      </w:pPr>
      <w:r>
        <w:t>•</w:t>
      </w:r>
      <w:r>
        <w:tab/>
        <w:t>Complete customs clearance</w:t>
      </w:r>
    </w:p>
    <w:p w14:paraId="4F6A811B" w14:textId="77777777" w:rsidR="00D319A7" w:rsidRDefault="00D319A7" w:rsidP="00911457">
      <w:pPr>
        <w:spacing w:after="0" w:line="360" w:lineRule="auto"/>
      </w:pPr>
      <w:r>
        <w:t>•</w:t>
      </w:r>
      <w:r>
        <w:tab/>
        <w:t>Complete unwrapping</w:t>
      </w:r>
    </w:p>
    <w:p w14:paraId="43E7BA7B" w14:textId="77777777" w:rsidR="00D319A7" w:rsidRDefault="00D319A7" w:rsidP="00911457">
      <w:pPr>
        <w:spacing w:after="0" w:line="360" w:lineRule="auto"/>
      </w:pPr>
      <w:r>
        <w:t>•</w:t>
      </w:r>
      <w:r>
        <w:tab/>
        <w:t>Delivery to residence up to 2nd floor</w:t>
      </w:r>
    </w:p>
    <w:p w14:paraId="2BE9DA13" w14:textId="77777777" w:rsidR="00D319A7" w:rsidRDefault="00D319A7" w:rsidP="00911457">
      <w:pPr>
        <w:spacing w:after="0" w:line="360" w:lineRule="auto"/>
      </w:pPr>
      <w:r>
        <w:t>•</w:t>
      </w:r>
      <w:r>
        <w:tab/>
        <w:t>Inbound transportation</w:t>
      </w:r>
    </w:p>
    <w:p w14:paraId="455FD921" w14:textId="77777777" w:rsidR="00D319A7" w:rsidRDefault="00D319A7" w:rsidP="00911457">
      <w:pPr>
        <w:spacing w:after="0" w:line="360" w:lineRule="auto"/>
      </w:pPr>
      <w:r>
        <w:t>•</w:t>
      </w:r>
      <w:r>
        <w:tab/>
        <w:t>Removal of debris</w:t>
      </w:r>
    </w:p>
    <w:p w14:paraId="091992BF" w14:textId="77777777" w:rsidR="00D319A7" w:rsidRDefault="00D319A7" w:rsidP="00911457">
      <w:pPr>
        <w:spacing w:after="0" w:line="360" w:lineRule="auto"/>
      </w:pPr>
      <w:r>
        <w:t>•</w:t>
      </w:r>
      <w:r>
        <w:tab/>
        <w:t>Return of empty container to port</w:t>
      </w:r>
    </w:p>
    <w:p w14:paraId="351F4F00" w14:textId="77777777" w:rsidR="00D319A7" w:rsidRDefault="00D319A7" w:rsidP="00911457">
      <w:pPr>
        <w:spacing w:after="0" w:line="360" w:lineRule="auto"/>
      </w:pPr>
      <w:r>
        <w:t>•</w:t>
      </w:r>
      <w:r>
        <w:tab/>
        <w:t>Setting up of basic furniture</w:t>
      </w:r>
    </w:p>
    <w:p w14:paraId="0D2693E3" w14:textId="77777777" w:rsidR="00D319A7" w:rsidRDefault="00D319A7" w:rsidP="00911457">
      <w:pPr>
        <w:spacing w:after="0" w:line="360" w:lineRule="auto"/>
      </w:pPr>
      <w:r>
        <w:t>•</w:t>
      </w:r>
      <w:r>
        <w:tab/>
        <w:t>Customs inspection</w:t>
      </w:r>
    </w:p>
    <w:p w14:paraId="1C0419A0" w14:textId="77777777" w:rsidR="00D319A7" w:rsidRDefault="00D319A7" w:rsidP="00911457">
      <w:pPr>
        <w:spacing w:after="0" w:line="360" w:lineRule="auto"/>
      </w:pPr>
      <w:r>
        <w:t>•</w:t>
      </w:r>
      <w:r>
        <w:tab/>
        <w:t>Local VAT</w:t>
      </w:r>
    </w:p>
    <w:p w14:paraId="6457BE67" w14:textId="77777777" w:rsidR="00D319A7" w:rsidRDefault="00D319A7" w:rsidP="00911457">
      <w:pPr>
        <w:spacing w:after="0" w:line="360" w:lineRule="auto"/>
      </w:pPr>
      <w:r>
        <w:t>•</w:t>
      </w:r>
      <w:r>
        <w:tab/>
        <w:t>Port &amp; terminal handling charges</w:t>
      </w:r>
    </w:p>
    <w:p w14:paraId="153066DD" w14:textId="77777777" w:rsidR="00D319A7" w:rsidRDefault="00D319A7" w:rsidP="00911457">
      <w:pPr>
        <w:spacing w:after="0" w:line="360" w:lineRule="auto"/>
      </w:pPr>
      <w:r>
        <w:t>•</w:t>
      </w:r>
      <w:r>
        <w:tab/>
        <w:t>Storage (start from the 5th day of vessel arrival)</w:t>
      </w:r>
    </w:p>
    <w:p w14:paraId="7CE6DFE8" w14:textId="77777777" w:rsidR="00D319A7" w:rsidRDefault="00D319A7" w:rsidP="00911457">
      <w:pPr>
        <w:spacing w:after="0" w:line="360" w:lineRule="auto"/>
      </w:pPr>
      <w:r>
        <w:t>•</w:t>
      </w:r>
      <w:r>
        <w:tab/>
        <w:t>Demurrage (start from the 5th day of vessel arrival)</w:t>
      </w:r>
    </w:p>
    <w:p w14:paraId="2CAC7A6C" w14:textId="0BC3ED67" w:rsidR="00E10E63" w:rsidRDefault="00E10E63" w:rsidP="00D319A7"/>
    <w:p w14:paraId="7677494E" w14:textId="65A15CA8" w:rsidR="00642C98" w:rsidRPr="00642C98" w:rsidRDefault="00642C98" w:rsidP="00D319A7">
      <w:pPr>
        <w:rPr>
          <w:b/>
          <w:bCs/>
          <w:i/>
          <w:iCs/>
        </w:rPr>
      </w:pPr>
      <w:r w:rsidRPr="00642C98">
        <w:rPr>
          <w:b/>
          <w:bCs/>
          <w:i/>
          <w:iCs/>
          <w:color w:val="4472C4" w:themeColor="accent1"/>
        </w:rPr>
        <w:t>Exclusions</w:t>
      </w:r>
    </w:p>
    <w:p w14:paraId="4028CD41" w14:textId="3C7341B4" w:rsidR="00D319A7" w:rsidRDefault="00D319A7" w:rsidP="00D319A7">
      <w:r>
        <w:t xml:space="preserve">Our rates do not include the following services </w:t>
      </w:r>
    </w:p>
    <w:p w14:paraId="785707C2" w14:textId="77777777" w:rsidR="00D319A7" w:rsidRDefault="00D319A7" w:rsidP="00911457">
      <w:pPr>
        <w:spacing w:after="0" w:line="360" w:lineRule="auto"/>
      </w:pPr>
      <w:r>
        <w:t>•</w:t>
      </w:r>
      <w:r>
        <w:tab/>
        <w:t>Crane or outside elevator</w:t>
      </w:r>
    </w:p>
    <w:p w14:paraId="3DD192D1" w14:textId="77777777" w:rsidR="00D319A7" w:rsidRDefault="00D319A7" w:rsidP="00911457">
      <w:pPr>
        <w:spacing w:after="0" w:line="360" w:lineRule="auto"/>
      </w:pPr>
      <w:r>
        <w:t>•</w:t>
      </w:r>
      <w:r>
        <w:tab/>
        <w:t>Customs taxes &amp; duties</w:t>
      </w:r>
    </w:p>
    <w:p w14:paraId="2BFA20C9" w14:textId="77777777" w:rsidR="00D319A7" w:rsidRDefault="00D319A7" w:rsidP="00911457">
      <w:pPr>
        <w:spacing w:after="0" w:line="360" w:lineRule="auto"/>
      </w:pPr>
      <w:r>
        <w:t>•</w:t>
      </w:r>
      <w:r>
        <w:tab/>
        <w:t>Abnormal access</w:t>
      </w:r>
    </w:p>
    <w:p w14:paraId="35C89616" w14:textId="77777777" w:rsidR="00D319A7" w:rsidRDefault="00D319A7" w:rsidP="00911457">
      <w:pPr>
        <w:spacing w:after="0" w:line="360" w:lineRule="auto"/>
      </w:pPr>
      <w:r>
        <w:t>•</w:t>
      </w:r>
      <w:r>
        <w:tab/>
        <w:t>Unpacking of cartons</w:t>
      </w:r>
    </w:p>
    <w:p w14:paraId="6B32A660" w14:textId="77777777" w:rsidR="00D319A7" w:rsidRDefault="00D319A7" w:rsidP="00911457">
      <w:pPr>
        <w:spacing w:after="0" w:line="360" w:lineRule="auto"/>
      </w:pPr>
      <w:r>
        <w:t>•</w:t>
      </w:r>
      <w:r>
        <w:tab/>
        <w:t>Assembling of furniture</w:t>
      </w:r>
    </w:p>
    <w:p w14:paraId="1125AFA8" w14:textId="77777777" w:rsidR="00D319A7" w:rsidRDefault="00D319A7" w:rsidP="00911457">
      <w:pPr>
        <w:spacing w:after="0" w:line="360" w:lineRule="auto"/>
      </w:pPr>
      <w:r>
        <w:t>•</w:t>
      </w:r>
      <w:r>
        <w:tab/>
        <w:t>B/L exchange fees &amp; demurrage deposit (if required)</w:t>
      </w:r>
    </w:p>
    <w:p w14:paraId="23DCDDF0" w14:textId="7A6C92B6" w:rsidR="001C7412" w:rsidRDefault="00D319A7" w:rsidP="00911457">
      <w:pPr>
        <w:spacing w:after="0" w:line="360" w:lineRule="auto"/>
      </w:pPr>
      <w:r>
        <w:t>•</w:t>
      </w:r>
      <w:r>
        <w:tab/>
        <w:t>Heavy items</w:t>
      </w:r>
    </w:p>
    <w:p w14:paraId="32454FB9" w14:textId="28102C92" w:rsidR="00642C98" w:rsidRDefault="00642C98" w:rsidP="00D319A7"/>
    <w:p w14:paraId="0F8AB801" w14:textId="05D8B74E" w:rsidR="00642C98" w:rsidRPr="00642C98" w:rsidRDefault="00642C98" w:rsidP="00D319A7">
      <w:pPr>
        <w:rPr>
          <w:rFonts w:cstheme="minorHAnsi"/>
          <w:b/>
          <w:bCs/>
          <w:color w:val="4472C4" w:themeColor="accent1"/>
          <w:sz w:val="24"/>
          <w:szCs w:val="24"/>
        </w:rPr>
      </w:pPr>
      <w:r w:rsidRPr="00642C98">
        <w:rPr>
          <w:rFonts w:cstheme="minorHAnsi"/>
          <w:b/>
          <w:bCs/>
          <w:color w:val="4472C4" w:themeColor="accent1"/>
          <w:sz w:val="24"/>
          <w:szCs w:val="24"/>
        </w:rPr>
        <w:t>AIR</w:t>
      </w:r>
    </w:p>
    <w:p w14:paraId="2B5A5CAD" w14:textId="77777777" w:rsidR="00642C98" w:rsidRPr="00642C98" w:rsidRDefault="00642C98" w:rsidP="00642C98">
      <w:pPr>
        <w:rPr>
          <w:rFonts w:cstheme="minorHAnsi"/>
          <w:b/>
          <w:bCs/>
          <w:i/>
          <w:iCs/>
          <w:color w:val="4472C4" w:themeColor="accent1"/>
        </w:rPr>
      </w:pPr>
      <w:r w:rsidRPr="00642C98">
        <w:rPr>
          <w:rFonts w:cstheme="minorHAnsi"/>
          <w:b/>
          <w:bCs/>
          <w:i/>
          <w:iCs/>
          <w:color w:val="4472C4" w:themeColor="accent1"/>
        </w:rPr>
        <w:t>Inclusions</w:t>
      </w:r>
    </w:p>
    <w:p w14:paraId="2679D7D9" w14:textId="77777777" w:rsidR="00642C98" w:rsidRPr="00642C98" w:rsidRDefault="00642C98" w:rsidP="00642C98">
      <w:pPr>
        <w:pStyle w:val="BodyTextIndent3"/>
        <w:rPr>
          <w:rFonts w:asciiTheme="minorHAnsi" w:hAnsiTheme="minorHAnsi" w:cstheme="minorHAnsi"/>
          <w:bCs/>
          <w:sz w:val="22"/>
          <w:szCs w:val="22"/>
        </w:rPr>
      </w:pPr>
    </w:p>
    <w:p w14:paraId="31869D07" w14:textId="3CCD2E66" w:rsidR="00642C98" w:rsidRPr="00642C98" w:rsidRDefault="00642C98" w:rsidP="00642C98">
      <w:pPr>
        <w:pStyle w:val="BodyTextIndent3"/>
        <w:ind w:firstLine="450"/>
        <w:rPr>
          <w:rFonts w:asciiTheme="minorHAnsi" w:hAnsiTheme="minorHAnsi" w:cstheme="minorHAnsi"/>
          <w:bCs/>
          <w:sz w:val="22"/>
          <w:szCs w:val="22"/>
        </w:rPr>
      </w:pPr>
      <w:r w:rsidRPr="00642C98">
        <w:rPr>
          <w:rFonts w:asciiTheme="minorHAnsi" w:hAnsiTheme="minorHAnsi" w:cstheme="minorHAnsi"/>
          <w:bCs/>
          <w:sz w:val="22"/>
          <w:szCs w:val="22"/>
        </w:rPr>
        <w:t>Our Airport to Door Service includes the following:</w:t>
      </w:r>
    </w:p>
    <w:p w14:paraId="1442E8F1" w14:textId="77777777" w:rsidR="00642C98" w:rsidRPr="00642C98" w:rsidRDefault="00642C98" w:rsidP="00BD27F5">
      <w:pPr>
        <w:pStyle w:val="BodyTextIndent3"/>
        <w:numPr>
          <w:ilvl w:val="0"/>
          <w:numId w:val="3"/>
        </w:numPr>
        <w:spacing w:line="360" w:lineRule="auto"/>
        <w:rPr>
          <w:rFonts w:asciiTheme="minorHAnsi" w:hAnsiTheme="minorHAnsi" w:cstheme="minorHAnsi"/>
          <w:sz w:val="22"/>
          <w:szCs w:val="22"/>
        </w:rPr>
      </w:pPr>
      <w:bookmarkStart w:id="0" w:name="_Hlk524527672"/>
      <w:r w:rsidRPr="00642C98">
        <w:rPr>
          <w:rFonts w:asciiTheme="minorHAnsi" w:hAnsiTheme="minorHAnsi" w:cstheme="minorHAnsi"/>
          <w:sz w:val="22"/>
          <w:szCs w:val="22"/>
        </w:rPr>
        <w:t xml:space="preserve">Customs Clearance  </w:t>
      </w:r>
    </w:p>
    <w:bookmarkEnd w:id="0"/>
    <w:p w14:paraId="65EF1F65" w14:textId="77777777" w:rsidR="00642C98" w:rsidRPr="00642C98" w:rsidRDefault="00642C98" w:rsidP="00BD27F5">
      <w:pPr>
        <w:pStyle w:val="BodyTextIndent3"/>
        <w:numPr>
          <w:ilvl w:val="0"/>
          <w:numId w:val="3"/>
        </w:numPr>
        <w:spacing w:line="360" w:lineRule="auto"/>
        <w:rPr>
          <w:rFonts w:asciiTheme="minorHAnsi" w:hAnsiTheme="minorHAnsi" w:cstheme="minorHAnsi"/>
          <w:sz w:val="22"/>
          <w:szCs w:val="22"/>
        </w:rPr>
      </w:pPr>
      <w:r w:rsidRPr="00642C98">
        <w:rPr>
          <w:rFonts w:asciiTheme="minorHAnsi" w:hAnsiTheme="minorHAnsi" w:cstheme="minorHAnsi"/>
          <w:sz w:val="22"/>
          <w:szCs w:val="22"/>
        </w:rPr>
        <w:lastRenderedPageBreak/>
        <w:t>Airport charges</w:t>
      </w:r>
    </w:p>
    <w:p w14:paraId="21944839" w14:textId="77777777" w:rsidR="00642C98" w:rsidRPr="00642C98" w:rsidRDefault="00642C98" w:rsidP="00BD27F5">
      <w:pPr>
        <w:pStyle w:val="BodyTextIndent3"/>
        <w:numPr>
          <w:ilvl w:val="0"/>
          <w:numId w:val="3"/>
        </w:numPr>
        <w:spacing w:line="360" w:lineRule="auto"/>
        <w:rPr>
          <w:rFonts w:asciiTheme="minorHAnsi" w:hAnsiTheme="minorHAnsi" w:cstheme="minorHAnsi"/>
          <w:sz w:val="22"/>
          <w:szCs w:val="22"/>
        </w:rPr>
      </w:pPr>
      <w:r w:rsidRPr="00642C98">
        <w:rPr>
          <w:rFonts w:asciiTheme="minorHAnsi" w:hAnsiTheme="minorHAnsi" w:cstheme="minorHAnsi"/>
          <w:sz w:val="22"/>
          <w:szCs w:val="22"/>
        </w:rPr>
        <w:t>Inland transportation from airport to residence</w:t>
      </w:r>
    </w:p>
    <w:p w14:paraId="50A38713" w14:textId="44A21F35" w:rsidR="00642C98" w:rsidRPr="00642C98" w:rsidRDefault="00642C98" w:rsidP="00642C98">
      <w:pPr>
        <w:pStyle w:val="BodyTextIndent3"/>
        <w:rPr>
          <w:rFonts w:asciiTheme="minorHAnsi" w:hAnsiTheme="minorHAnsi" w:cstheme="minorHAnsi"/>
          <w:sz w:val="22"/>
          <w:szCs w:val="22"/>
        </w:rPr>
      </w:pPr>
    </w:p>
    <w:p w14:paraId="1A93FD3D" w14:textId="3D35D346" w:rsidR="00642C98" w:rsidRPr="00642C98" w:rsidRDefault="00642C98" w:rsidP="00642C98">
      <w:pPr>
        <w:rPr>
          <w:rFonts w:cstheme="minorHAnsi"/>
          <w:color w:val="4472C4" w:themeColor="accent1"/>
        </w:rPr>
      </w:pPr>
      <w:r w:rsidRPr="00642C98">
        <w:rPr>
          <w:rFonts w:cstheme="minorHAnsi"/>
          <w:b/>
          <w:bCs/>
          <w:i/>
          <w:iCs/>
          <w:color w:val="4472C4" w:themeColor="accent1"/>
        </w:rPr>
        <w:t>Exclusions</w:t>
      </w:r>
    </w:p>
    <w:p w14:paraId="2C81D1F9" w14:textId="33B1D65B" w:rsidR="00642C98" w:rsidRPr="00642C98" w:rsidRDefault="00642C98" w:rsidP="00642C98">
      <w:pPr>
        <w:pStyle w:val="BodyTextIndent3"/>
        <w:ind w:firstLine="450"/>
        <w:rPr>
          <w:rFonts w:asciiTheme="minorHAnsi" w:hAnsiTheme="minorHAnsi" w:cstheme="minorHAnsi"/>
          <w:bCs/>
          <w:sz w:val="22"/>
          <w:szCs w:val="22"/>
        </w:rPr>
      </w:pPr>
      <w:r w:rsidRPr="00642C98">
        <w:rPr>
          <w:rFonts w:asciiTheme="minorHAnsi" w:hAnsiTheme="minorHAnsi" w:cstheme="minorHAnsi"/>
          <w:bCs/>
          <w:sz w:val="22"/>
          <w:szCs w:val="22"/>
        </w:rPr>
        <w:t>Our Airport to Door Service</w:t>
      </w:r>
      <w:r w:rsidRPr="00642C98">
        <w:rPr>
          <w:rFonts w:asciiTheme="minorHAnsi" w:hAnsiTheme="minorHAnsi" w:cstheme="minorHAnsi"/>
          <w:b/>
          <w:sz w:val="22"/>
          <w:szCs w:val="22"/>
          <w:u w:val="single"/>
        </w:rPr>
        <w:t xml:space="preserve"> </w:t>
      </w:r>
      <w:r w:rsidRPr="00642C98">
        <w:rPr>
          <w:rFonts w:asciiTheme="minorHAnsi" w:hAnsiTheme="minorHAnsi" w:cstheme="minorHAnsi"/>
          <w:bCs/>
          <w:sz w:val="22"/>
          <w:szCs w:val="22"/>
        </w:rPr>
        <w:t>excludes the following:</w:t>
      </w:r>
    </w:p>
    <w:p w14:paraId="0B6110C8" w14:textId="77777777" w:rsidR="00642C98" w:rsidRPr="00642C98" w:rsidRDefault="00642C98" w:rsidP="00BD27F5">
      <w:pPr>
        <w:pStyle w:val="BodyTextIndent3"/>
        <w:numPr>
          <w:ilvl w:val="0"/>
          <w:numId w:val="4"/>
        </w:numPr>
        <w:spacing w:line="360" w:lineRule="auto"/>
        <w:rPr>
          <w:rFonts w:asciiTheme="minorHAnsi" w:hAnsiTheme="minorHAnsi" w:cstheme="minorHAnsi"/>
          <w:sz w:val="22"/>
          <w:szCs w:val="22"/>
        </w:rPr>
      </w:pPr>
      <w:r w:rsidRPr="00642C98">
        <w:rPr>
          <w:rFonts w:asciiTheme="minorHAnsi" w:hAnsiTheme="minorHAnsi" w:cstheme="minorHAnsi"/>
          <w:sz w:val="22"/>
          <w:szCs w:val="22"/>
        </w:rPr>
        <w:t>Chargeable weight exceeding estimated weight, gross weight including palletizing/packing, customs examination, customs duties and taxes, insurance, detention/demurrage, warehouse handling, storage, port charges accrued at the destination port, shuttle service at destination, hoisting, parking permits, handling of heavy items such as pianos, safes, long carries and delivery above the second floor (without access to an elevator), weekend overtime delivery charge, or any services not included above.</w:t>
      </w:r>
    </w:p>
    <w:p w14:paraId="65FCE268" w14:textId="130185E0" w:rsidR="00642C98" w:rsidRDefault="00642C98" w:rsidP="00D319A7">
      <w:pPr>
        <w:rPr>
          <w:b/>
          <w:bCs/>
          <w:lang w:val="en-US"/>
        </w:rPr>
      </w:pPr>
    </w:p>
    <w:p w14:paraId="378DE03C" w14:textId="77777777" w:rsidR="00F866D7" w:rsidRPr="00BD27F5" w:rsidRDefault="00F866D7" w:rsidP="00F866D7">
      <w:pPr>
        <w:rPr>
          <w:rFonts w:cstheme="minorHAnsi"/>
          <w:sz w:val="20"/>
          <w:szCs w:val="20"/>
          <w:lang w:val="en-US"/>
        </w:rPr>
      </w:pPr>
      <w:r w:rsidRPr="00BD27F5">
        <w:rPr>
          <w:rFonts w:cstheme="minorHAnsi"/>
          <w:sz w:val="20"/>
          <w:szCs w:val="20"/>
          <w:lang w:val="en-US"/>
        </w:rPr>
        <w:t>Thank you</w:t>
      </w:r>
    </w:p>
    <w:p w14:paraId="58E01FA8" w14:textId="77777777" w:rsidR="00F866D7" w:rsidRPr="00BD27F5" w:rsidRDefault="00F866D7" w:rsidP="00F866D7">
      <w:pPr>
        <w:rPr>
          <w:rFonts w:cstheme="minorHAnsi"/>
          <w:sz w:val="20"/>
          <w:szCs w:val="20"/>
          <w:lang w:val="en-US"/>
        </w:rPr>
      </w:pPr>
    </w:p>
    <w:p w14:paraId="292B6346" w14:textId="028D64D1" w:rsidR="00F866D7" w:rsidRPr="00BD27F5" w:rsidRDefault="00F866D7" w:rsidP="00F866D7">
      <w:pPr>
        <w:rPr>
          <w:rFonts w:cstheme="minorHAnsi"/>
          <w:sz w:val="20"/>
          <w:szCs w:val="20"/>
          <w:lang w:val="en-US"/>
        </w:rPr>
      </w:pPr>
      <w:r w:rsidRPr="00BD27F5">
        <w:rPr>
          <w:rFonts w:cstheme="minorHAnsi"/>
          <w:sz w:val="20"/>
          <w:szCs w:val="20"/>
          <w:lang w:val="en-US"/>
        </w:rPr>
        <w:t>Wole Akande</w:t>
      </w:r>
    </w:p>
    <w:p w14:paraId="008C35D9" w14:textId="77777777" w:rsidR="00F866D7" w:rsidRPr="00BD27F5" w:rsidRDefault="00F866D7" w:rsidP="00F866D7">
      <w:pPr>
        <w:rPr>
          <w:rFonts w:cstheme="minorHAnsi"/>
          <w:sz w:val="20"/>
          <w:szCs w:val="20"/>
          <w:lang w:val="en-US"/>
        </w:rPr>
      </w:pPr>
      <w:r w:rsidRPr="00BD27F5">
        <w:rPr>
          <w:rFonts w:cstheme="minorHAnsi"/>
          <w:sz w:val="20"/>
          <w:szCs w:val="20"/>
          <w:lang w:val="en-US"/>
        </w:rPr>
        <w:t>Regional Director, West Africa</w:t>
      </w:r>
    </w:p>
    <w:p w14:paraId="480B9A61" w14:textId="77777777" w:rsidR="00F866D7" w:rsidRPr="00BD27F5" w:rsidRDefault="00F866D7" w:rsidP="00F866D7">
      <w:pPr>
        <w:rPr>
          <w:rFonts w:cstheme="minorHAnsi"/>
          <w:sz w:val="20"/>
          <w:szCs w:val="20"/>
          <w:lang w:val="en-US"/>
        </w:rPr>
      </w:pPr>
    </w:p>
    <w:p w14:paraId="002E4D24" w14:textId="77777777" w:rsidR="00F866D7" w:rsidRPr="00BD27F5" w:rsidRDefault="00F866D7" w:rsidP="00F866D7">
      <w:pPr>
        <w:spacing w:after="0"/>
        <w:rPr>
          <w:rFonts w:cstheme="minorHAnsi"/>
          <w:sz w:val="20"/>
          <w:szCs w:val="20"/>
          <w:lang w:val="en-US"/>
        </w:rPr>
      </w:pPr>
      <w:r w:rsidRPr="00BD27F5">
        <w:rPr>
          <w:rFonts w:cstheme="minorHAnsi"/>
          <w:sz w:val="20"/>
          <w:szCs w:val="20"/>
          <w:lang w:val="en-US"/>
        </w:rPr>
        <w:t>Tel:   +234 903 000 0219</w:t>
      </w:r>
    </w:p>
    <w:p w14:paraId="0B51FFA6" w14:textId="77777777" w:rsidR="00F866D7" w:rsidRPr="00BD27F5" w:rsidRDefault="00F866D7" w:rsidP="00F866D7">
      <w:pPr>
        <w:spacing w:after="0"/>
        <w:rPr>
          <w:rFonts w:cstheme="minorHAnsi"/>
          <w:sz w:val="20"/>
          <w:szCs w:val="20"/>
          <w:lang w:val="en-US"/>
        </w:rPr>
      </w:pPr>
      <w:r w:rsidRPr="00BD27F5">
        <w:rPr>
          <w:rFonts w:cstheme="minorHAnsi"/>
          <w:sz w:val="20"/>
          <w:szCs w:val="20"/>
          <w:lang w:val="en-US"/>
        </w:rPr>
        <w:t>Mob: +234 802 224 7772</w:t>
      </w:r>
    </w:p>
    <w:p w14:paraId="63C9452B" w14:textId="77777777" w:rsidR="00F866D7" w:rsidRPr="00BD27F5" w:rsidRDefault="00F866D7" w:rsidP="00F866D7">
      <w:pPr>
        <w:spacing w:after="0"/>
        <w:rPr>
          <w:rFonts w:cstheme="minorHAnsi"/>
          <w:sz w:val="20"/>
          <w:szCs w:val="20"/>
          <w:lang w:val="en-US"/>
        </w:rPr>
      </w:pPr>
      <w:r w:rsidRPr="00BD27F5">
        <w:rPr>
          <w:rFonts w:cstheme="minorHAnsi"/>
          <w:sz w:val="20"/>
          <w:szCs w:val="20"/>
          <w:lang w:val="en-US"/>
        </w:rPr>
        <w:t xml:space="preserve">Email: </w:t>
      </w:r>
      <w:hyperlink r:id="rId5" w:history="1">
        <w:r w:rsidRPr="00BD27F5">
          <w:rPr>
            <w:rStyle w:val="Hyperlink"/>
            <w:rFonts w:cstheme="minorHAnsi"/>
            <w:color w:val="0000FF"/>
            <w:sz w:val="20"/>
            <w:szCs w:val="20"/>
            <w:lang w:val="en-US"/>
          </w:rPr>
          <w:t>wakande@mebs-global.com</w:t>
        </w:r>
      </w:hyperlink>
    </w:p>
    <w:p w14:paraId="3A712E12" w14:textId="77777777" w:rsidR="00F866D7" w:rsidRPr="00BD27F5" w:rsidRDefault="00F866D7" w:rsidP="00F866D7">
      <w:pPr>
        <w:spacing w:after="0"/>
        <w:rPr>
          <w:rFonts w:cstheme="minorHAnsi"/>
          <w:sz w:val="20"/>
          <w:szCs w:val="20"/>
          <w:lang w:val="en-US"/>
        </w:rPr>
      </w:pPr>
      <w:hyperlink r:id="rId6" w:history="1">
        <w:r w:rsidRPr="00BD27F5">
          <w:rPr>
            <w:rStyle w:val="Hyperlink"/>
            <w:rFonts w:cstheme="minorHAnsi"/>
            <w:color w:val="0000FF"/>
            <w:sz w:val="20"/>
            <w:szCs w:val="20"/>
            <w:lang w:val="en-US"/>
          </w:rPr>
          <w:t>www.mebs-global.com</w:t>
        </w:r>
      </w:hyperlink>
    </w:p>
    <w:p w14:paraId="3C79A8BC" w14:textId="77777777" w:rsidR="00F866D7" w:rsidRPr="00642C98" w:rsidRDefault="00F866D7" w:rsidP="00D319A7">
      <w:pPr>
        <w:rPr>
          <w:b/>
          <w:bCs/>
          <w:lang w:val="en-US"/>
        </w:rPr>
      </w:pPr>
    </w:p>
    <w:sectPr w:rsidR="00F866D7" w:rsidRPr="0064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936"/>
    <w:multiLevelType w:val="multilevel"/>
    <w:tmpl w:val="E3D89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30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A023C7"/>
    <w:multiLevelType w:val="multilevel"/>
    <w:tmpl w:val="6EFE8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34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A7"/>
    <w:rsid w:val="00435D0F"/>
    <w:rsid w:val="004F21A1"/>
    <w:rsid w:val="00642C98"/>
    <w:rsid w:val="00703F24"/>
    <w:rsid w:val="00911457"/>
    <w:rsid w:val="00BD27F5"/>
    <w:rsid w:val="00BF78E7"/>
    <w:rsid w:val="00D319A7"/>
    <w:rsid w:val="00E10E63"/>
    <w:rsid w:val="00F8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8FE6"/>
  <w15:chartTrackingRefBased/>
  <w15:docId w15:val="{606A6ED1-D1CA-4A6A-B661-A4C5C896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42C98"/>
    <w:pPr>
      <w:spacing w:after="0" w:line="240" w:lineRule="auto"/>
      <w:ind w:left="-450"/>
    </w:pPr>
    <w:rPr>
      <w:rFonts w:ascii="Tahoma" w:eastAsia="Times" w:hAnsi="Tahoma" w:cs="Times New Roman"/>
      <w:sz w:val="24"/>
      <w:szCs w:val="20"/>
      <w:lang w:val="en-US"/>
    </w:rPr>
  </w:style>
  <w:style w:type="character" w:customStyle="1" w:styleId="BodyTextIndent3Char">
    <w:name w:val="Body Text Indent 3 Char"/>
    <w:basedOn w:val="DefaultParagraphFont"/>
    <w:link w:val="BodyTextIndent3"/>
    <w:rsid w:val="00642C98"/>
    <w:rPr>
      <w:rFonts w:ascii="Tahoma" w:eastAsia="Times" w:hAnsi="Tahoma" w:cs="Times New Roman"/>
      <w:sz w:val="24"/>
      <w:szCs w:val="20"/>
    </w:rPr>
  </w:style>
  <w:style w:type="character" w:styleId="Hyperlink">
    <w:name w:val="Hyperlink"/>
    <w:basedOn w:val="DefaultParagraphFont"/>
    <w:uiPriority w:val="99"/>
    <w:semiHidden/>
    <w:unhideWhenUsed/>
    <w:rsid w:val="00F86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7578">
      <w:bodyDiv w:val="1"/>
      <w:marLeft w:val="0"/>
      <w:marRight w:val="0"/>
      <w:marTop w:val="0"/>
      <w:marBottom w:val="0"/>
      <w:divBdr>
        <w:top w:val="none" w:sz="0" w:space="0" w:color="auto"/>
        <w:left w:val="none" w:sz="0" w:space="0" w:color="auto"/>
        <w:bottom w:val="none" w:sz="0" w:space="0" w:color="auto"/>
        <w:right w:val="none" w:sz="0" w:space="0" w:color="auto"/>
      </w:divBdr>
    </w:div>
    <w:div w:id="317537067">
      <w:bodyDiv w:val="1"/>
      <w:marLeft w:val="0"/>
      <w:marRight w:val="0"/>
      <w:marTop w:val="0"/>
      <w:marBottom w:val="0"/>
      <w:divBdr>
        <w:top w:val="none" w:sz="0" w:space="0" w:color="auto"/>
        <w:left w:val="none" w:sz="0" w:space="0" w:color="auto"/>
        <w:bottom w:val="none" w:sz="0" w:space="0" w:color="auto"/>
        <w:right w:val="none" w:sz="0" w:space="0" w:color="auto"/>
      </w:divBdr>
    </w:div>
    <w:div w:id="854266181">
      <w:bodyDiv w:val="1"/>
      <w:marLeft w:val="0"/>
      <w:marRight w:val="0"/>
      <w:marTop w:val="0"/>
      <w:marBottom w:val="0"/>
      <w:divBdr>
        <w:top w:val="none" w:sz="0" w:space="0" w:color="auto"/>
        <w:left w:val="none" w:sz="0" w:space="0" w:color="auto"/>
        <w:bottom w:val="none" w:sz="0" w:space="0" w:color="auto"/>
        <w:right w:val="none" w:sz="0" w:space="0" w:color="auto"/>
      </w:divBdr>
    </w:div>
    <w:div w:id="20706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bs-global.com/" TargetMode="External"/><Relationship Id="rId5" Type="http://schemas.openxmlformats.org/officeDocument/2006/relationships/hyperlink" Target="mailto:wakande@mebs-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Wole Akande</dc:creator>
  <cp:keywords/>
  <dc:description/>
  <cp:lastModifiedBy>Editor_028</cp:lastModifiedBy>
  <cp:revision>5</cp:revision>
  <dcterms:created xsi:type="dcterms:W3CDTF">2020-10-22T15:05:00Z</dcterms:created>
  <dcterms:modified xsi:type="dcterms:W3CDTF">2020-10-22T15:14:00Z</dcterms:modified>
</cp:coreProperties>
</file>