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80C27" w14:textId="77777777" w:rsidR="002A418B" w:rsidRDefault="002A418B" w:rsidP="008760D8">
      <w:pPr>
        <w:pStyle w:val="NormalWeb"/>
      </w:pPr>
    </w:p>
    <w:p w14:paraId="53957676" w14:textId="77777777" w:rsidR="002A418B" w:rsidRDefault="002A418B" w:rsidP="002A418B">
      <w:pPr>
        <w:rPr>
          <w:rFonts w:ascii="Calibri" w:eastAsia="Times New Roman" w:hAnsi="Calibri" w:cs="Calibri"/>
        </w:rPr>
      </w:pPr>
    </w:p>
    <w:tbl>
      <w:tblPr>
        <w:tblW w:w="9360" w:type="dxa"/>
        <w:tblCellSpacing w:w="15" w:type="dxa"/>
        <w:tblLook w:val="04A0" w:firstRow="1" w:lastRow="0" w:firstColumn="1" w:lastColumn="0" w:noHBand="0" w:noVBand="1"/>
      </w:tblPr>
      <w:tblGrid>
        <w:gridCol w:w="4754"/>
        <w:gridCol w:w="4606"/>
      </w:tblGrid>
      <w:tr w:rsidR="002A418B" w14:paraId="1D137E3C" w14:textId="77777777" w:rsidTr="002A418B">
        <w:trPr>
          <w:tblHeader/>
          <w:tblCellSpacing w:w="15" w:type="dxa"/>
        </w:trPr>
        <w:tc>
          <w:tcPr>
            <w:tcW w:w="10500" w:type="dxa"/>
            <w:shd w:val="clear" w:color="auto" w:fill="FF0000"/>
            <w:tcMar>
              <w:top w:w="15" w:type="dxa"/>
              <w:left w:w="15" w:type="dxa"/>
              <w:bottom w:w="15" w:type="dxa"/>
              <w:right w:w="15" w:type="dxa"/>
            </w:tcMar>
            <w:vAlign w:val="center"/>
            <w:hideMark/>
          </w:tcPr>
          <w:p w14:paraId="27EE5E51" w14:textId="77777777" w:rsidR="002A418B" w:rsidRDefault="002A418B">
            <w:pPr>
              <w:pStyle w:val="NormalWeb"/>
              <w:jc w:val="center"/>
              <w:rPr>
                <w:b/>
                <w:bCs/>
                <w:color w:val="FFFFFF"/>
              </w:rPr>
            </w:pPr>
            <w:r>
              <w:rPr>
                <w:b/>
                <w:bCs/>
                <w:color w:val="FFFFFF"/>
              </w:rPr>
              <w:t>INCLUSIONS</w:t>
            </w:r>
          </w:p>
        </w:tc>
        <w:tc>
          <w:tcPr>
            <w:tcW w:w="10500" w:type="dxa"/>
            <w:shd w:val="clear" w:color="auto" w:fill="FF0000"/>
            <w:tcMar>
              <w:top w:w="15" w:type="dxa"/>
              <w:left w:w="15" w:type="dxa"/>
              <w:bottom w:w="15" w:type="dxa"/>
              <w:right w:w="15" w:type="dxa"/>
            </w:tcMar>
            <w:vAlign w:val="center"/>
            <w:hideMark/>
          </w:tcPr>
          <w:p w14:paraId="7EA50DE8" w14:textId="77777777" w:rsidR="002A418B" w:rsidRDefault="002A418B">
            <w:pPr>
              <w:pStyle w:val="NormalWeb"/>
              <w:jc w:val="center"/>
              <w:rPr>
                <w:b/>
                <w:bCs/>
                <w:color w:val="FFFFFF"/>
              </w:rPr>
            </w:pPr>
            <w:r>
              <w:rPr>
                <w:b/>
                <w:bCs/>
                <w:color w:val="FFFFFF"/>
              </w:rPr>
              <w:t>EXCLUSIONS</w:t>
            </w:r>
          </w:p>
        </w:tc>
      </w:tr>
      <w:tr w:rsidR="002A418B" w14:paraId="129296CB" w14:textId="77777777" w:rsidTr="002A418B">
        <w:trPr>
          <w:tblCellSpacing w:w="15" w:type="dxa"/>
        </w:trPr>
        <w:tc>
          <w:tcPr>
            <w:tcW w:w="4680" w:type="dxa"/>
            <w:tcMar>
              <w:top w:w="15" w:type="dxa"/>
              <w:left w:w="15" w:type="dxa"/>
              <w:bottom w:w="15" w:type="dxa"/>
              <w:right w:w="15" w:type="dxa"/>
            </w:tcMar>
            <w:vAlign w:val="center"/>
            <w:hideMark/>
          </w:tcPr>
          <w:p w14:paraId="0FDE8E81" w14:textId="77777777" w:rsidR="002A418B" w:rsidRDefault="002A418B">
            <w:pPr>
              <w:pStyle w:val="NormalWeb"/>
            </w:pPr>
            <w:r>
              <w:t>•  Full professional packing at the residence using especially designed packing materials for books, kitchenware, clothes, shoes and other miscellaneous items;</w:t>
            </w:r>
          </w:p>
          <w:p w14:paraId="680DA202" w14:textId="77777777" w:rsidR="002A418B" w:rsidRDefault="002A418B">
            <w:pPr>
              <w:pStyle w:val="NormalWeb"/>
            </w:pPr>
            <w:r>
              <w:t>•  Preparation of a detailed packing list showing the total number of items packed with a general description of each item;</w:t>
            </w:r>
          </w:p>
          <w:p w14:paraId="6E0D1AF0" w14:textId="77777777" w:rsidR="002A418B" w:rsidRDefault="002A418B">
            <w:pPr>
              <w:pStyle w:val="NormalWeb"/>
            </w:pPr>
            <w:r>
              <w:t>•  Preparation of all export documentation and customs formalities;</w:t>
            </w:r>
          </w:p>
        </w:tc>
        <w:tc>
          <w:tcPr>
            <w:tcW w:w="4680" w:type="dxa"/>
            <w:tcMar>
              <w:top w:w="15" w:type="dxa"/>
              <w:left w:w="15" w:type="dxa"/>
              <w:bottom w:w="15" w:type="dxa"/>
              <w:right w:w="15" w:type="dxa"/>
            </w:tcMar>
            <w:vAlign w:val="center"/>
            <w:hideMark/>
          </w:tcPr>
          <w:p w14:paraId="07CF5ED4" w14:textId="77777777" w:rsidR="002A418B" w:rsidRDefault="002A418B">
            <w:pPr>
              <w:pStyle w:val="NormalWeb"/>
            </w:pPr>
            <w:r>
              <w:t>•  Payment of sea freight as well as payment of Origin &amp; port charges;</w:t>
            </w:r>
          </w:p>
          <w:p w14:paraId="3975A563" w14:textId="77777777" w:rsidR="002A418B" w:rsidRDefault="002A418B">
            <w:pPr>
              <w:pStyle w:val="NormalWeb"/>
            </w:pPr>
            <w:r>
              <w:t>•  Storage and warehouse handling;</w:t>
            </w:r>
          </w:p>
          <w:p w14:paraId="71568D8B" w14:textId="77777777" w:rsidR="002A418B" w:rsidRDefault="002A418B">
            <w:pPr>
              <w:pStyle w:val="NormalWeb"/>
            </w:pPr>
            <w:r>
              <w:t>•  Insurance Coverage. We can offer insurance for 3.0% of the total declared value;</w:t>
            </w:r>
          </w:p>
          <w:p w14:paraId="208111BF" w14:textId="77777777" w:rsidR="002A418B" w:rsidRDefault="002A418B">
            <w:pPr>
              <w:pStyle w:val="NormalWeb"/>
            </w:pPr>
            <w:r>
              <w:t>•  12%VAT</w:t>
            </w:r>
          </w:p>
        </w:tc>
      </w:tr>
    </w:tbl>
    <w:p w14:paraId="1CAFAB63" w14:textId="77777777" w:rsidR="002A418B" w:rsidRDefault="002A418B" w:rsidP="002A418B">
      <w:pPr>
        <w:spacing w:after="240"/>
        <w:rPr>
          <w:rFonts w:ascii="Verdana" w:eastAsia="Times New Roman" w:hAnsi="Verdana" w:cs="Calibri"/>
          <w:sz w:val="20"/>
          <w:szCs w:val="20"/>
        </w:rPr>
      </w:pPr>
    </w:p>
    <w:tbl>
      <w:tblPr>
        <w:tblW w:w="9360" w:type="dxa"/>
        <w:tblCellSpacing w:w="15" w:type="dxa"/>
        <w:tblLook w:val="04A0" w:firstRow="1" w:lastRow="0" w:firstColumn="1" w:lastColumn="0" w:noHBand="0" w:noVBand="1"/>
      </w:tblPr>
      <w:tblGrid>
        <w:gridCol w:w="9360"/>
      </w:tblGrid>
      <w:tr w:rsidR="002A418B" w14:paraId="574D40F6" w14:textId="77777777" w:rsidTr="002A418B">
        <w:trPr>
          <w:tblHeader/>
          <w:tblCellSpacing w:w="15" w:type="dxa"/>
        </w:trPr>
        <w:tc>
          <w:tcPr>
            <w:tcW w:w="10500" w:type="dxa"/>
            <w:shd w:val="clear" w:color="auto" w:fill="FF0000"/>
            <w:tcMar>
              <w:top w:w="15" w:type="dxa"/>
              <w:left w:w="15" w:type="dxa"/>
              <w:bottom w:w="15" w:type="dxa"/>
              <w:right w:w="15" w:type="dxa"/>
            </w:tcMar>
            <w:vAlign w:val="center"/>
            <w:hideMark/>
          </w:tcPr>
          <w:p w14:paraId="1A4EACF0" w14:textId="77777777" w:rsidR="002A418B" w:rsidRDefault="002A418B">
            <w:pPr>
              <w:pStyle w:val="NormalWeb"/>
              <w:jc w:val="center"/>
              <w:rPr>
                <w:b/>
                <w:bCs/>
                <w:color w:val="FFFFFF"/>
              </w:rPr>
            </w:pPr>
            <w:r>
              <w:rPr>
                <w:b/>
                <w:bCs/>
                <w:color w:val="FFFFFF"/>
              </w:rPr>
              <w:t>ADDITIONAL SERVICES</w:t>
            </w:r>
          </w:p>
        </w:tc>
      </w:tr>
      <w:tr w:rsidR="002A418B" w14:paraId="345499F9" w14:textId="77777777" w:rsidTr="002A418B">
        <w:trPr>
          <w:tblCellSpacing w:w="15" w:type="dxa"/>
        </w:trPr>
        <w:tc>
          <w:tcPr>
            <w:tcW w:w="9360" w:type="dxa"/>
            <w:tcMar>
              <w:top w:w="15" w:type="dxa"/>
              <w:left w:w="15" w:type="dxa"/>
              <w:bottom w:w="15" w:type="dxa"/>
              <w:right w:w="15" w:type="dxa"/>
            </w:tcMar>
            <w:vAlign w:val="center"/>
            <w:hideMark/>
          </w:tcPr>
          <w:p w14:paraId="49C20C09" w14:textId="77777777" w:rsidR="002A418B" w:rsidRDefault="002A418B">
            <w:pPr>
              <w:pStyle w:val="NormalWeb"/>
              <w:ind w:left="675"/>
            </w:pPr>
            <w:r>
              <w:t>•  International Transit Insurance - we highly recommend that you secure an international transit insurance to protect your personal effects from unforeseen accidents that may occur during long voyages. Insuring your shipment will not only compensate you in the event of loss or damage but will also provide you with "Peace of Mind" while your belongings are in transit. Full replacement insurance is available to you at 3.0% of the totals declared value.</w:t>
            </w:r>
          </w:p>
        </w:tc>
      </w:tr>
    </w:tbl>
    <w:p w14:paraId="2CA3C418" w14:textId="77777777" w:rsidR="002A418B" w:rsidRDefault="002A418B" w:rsidP="002A418B">
      <w:pPr>
        <w:spacing w:after="240"/>
        <w:rPr>
          <w:rFonts w:ascii="Verdana" w:eastAsia="Times New Roman" w:hAnsi="Verdana" w:cs="Calibri"/>
          <w:sz w:val="20"/>
          <w:szCs w:val="20"/>
        </w:rPr>
      </w:pPr>
    </w:p>
    <w:tbl>
      <w:tblPr>
        <w:tblW w:w="9360" w:type="dxa"/>
        <w:tblCellSpacing w:w="15" w:type="dxa"/>
        <w:tblLook w:val="04A0" w:firstRow="1" w:lastRow="0" w:firstColumn="1" w:lastColumn="0" w:noHBand="0" w:noVBand="1"/>
      </w:tblPr>
      <w:tblGrid>
        <w:gridCol w:w="9360"/>
      </w:tblGrid>
      <w:tr w:rsidR="002A418B" w14:paraId="0DEF548D" w14:textId="77777777" w:rsidTr="002A418B">
        <w:trPr>
          <w:tblCellSpacing w:w="15" w:type="dxa"/>
        </w:trPr>
        <w:tc>
          <w:tcPr>
            <w:tcW w:w="0" w:type="auto"/>
            <w:tcMar>
              <w:top w:w="15" w:type="dxa"/>
              <w:left w:w="15" w:type="dxa"/>
              <w:bottom w:w="15" w:type="dxa"/>
              <w:right w:w="15" w:type="dxa"/>
            </w:tcMar>
            <w:vAlign w:val="center"/>
            <w:hideMark/>
          </w:tcPr>
          <w:p w14:paraId="21A69002" w14:textId="45FB8A4D" w:rsidR="002A418B" w:rsidRDefault="002A418B">
            <w:pPr>
              <w:spacing w:after="240"/>
              <w:rPr>
                <w:rFonts w:ascii="Calibri" w:eastAsia="Times New Roman" w:hAnsi="Calibri"/>
              </w:rPr>
            </w:pPr>
            <w:r>
              <w:rPr>
                <w:rFonts w:eastAsia="Times New Roman"/>
                <w:noProof/>
              </w:rPr>
              <w:lastRenderedPageBreak/>
              <w:drawing>
                <wp:inline distT="0" distB="0" distL="0" distR="0" wp14:anchorId="5534545E" wp14:editId="60A57161">
                  <wp:extent cx="5943600" cy="4523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523105"/>
                          </a:xfrm>
                          <a:prstGeom prst="rect">
                            <a:avLst/>
                          </a:prstGeom>
                          <a:noFill/>
                          <a:ln>
                            <a:noFill/>
                          </a:ln>
                        </pic:spPr>
                      </pic:pic>
                    </a:graphicData>
                  </a:graphic>
                </wp:inline>
              </w:drawing>
            </w:r>
          </w:p>
        </w:tc>
      </w:tr>
    </w:tbl>
    <w:p w14:paraId="318B6510" w14:textId="77777777" w:rsidR="002A418B" w:rsidRDefault="002A418B" w:rsidP="002A418B">
      <w:pPr>
        <w:pStyle w:val="NormalWeb"/>
        <w:rPr>
          <w:rFonts w:ascii="Verdana" w:hAnsi="Verdana"/>
          <w:sz w:val="20"/>
          <w:szCs w:val="20"/>
        </w:rPr>
      </w:pPr>
      <w:r>
        <w:rPr>
          <w:rStyle w:val="Strong"/>
          <w:rFonts w:ascii="Verdana" w:hAnsi="Verdana"/>
          <w:sz w:val="20"/>
          <w:szCs w:val="20"/>
        </w:rPr>
        <w:t>Terms of payment</w:t>
      </w:r>
    </w:p>
    <w:p w14:paraId="4BB0E75C" w14:textId="77777777" w:rsidR="002A418B" w:rsidRDefault="002A418B" w:rsidP="002A418B">
      <w:pPr>
        <w:numPr>
          <w:ilvl w:val="0"/>
          <w:numId w:val="11"/>
        </w:numPr>
        <w:spacing w:before="100" w:beforeAutospacing="1" w:after="100" w:afterAutospacing="1" w:line="360" w:lineRule="auto"/>
        <w:rPr>
          <w:rFonts w:ascii="Verdana" w:eastAsia="Times New Roman" w:hAnsi="Verdana"/>
          <w:sz w:val="21"/>
          <w:szCs w:val="21"/>
        </w:rPr>
      </w:pPr>
      <w:r>
        <w:rPr>
          <w:rFonts w:ascii="Verdana" w:eastAsia="Times New Roman" w:hAnsi="Verdana"/>
          <w:sz w:val="21"/>
          <w:szCs w:val="21"/>
        </w:rPr>
        <w:t>Quotation is valid for 90 days from date of quote;</w:t>
      </w:r>
    </w:p>
    <w:p w14:paraId="5CA89860" w14:textId="77777777" w:rsidR="002A418B" w:rsidRDefault="002A418B" w:rsidP="002A418B">
      <w:pPr>
        <w:numPr>
          <w:ilvl w:val="0"/>
          <w:numId w:val="11"/>
        </w:numPr>
        <w:spacing w:before="100" w:beforeAutospacing="1" w:after="100" w:afterAutospacing="1" w:line="360" w:lineRule="auto"/>
        <w:rPr>
          <w:rFonts w:ascii="Verdana" w:eastAsia="Times New Roman" w:hAnsi="Verdana"/>
          <w:sz w:val="21"/>
          <w:szCs w:val="21"/>
        </w:rPr>
      </w:pPr>
      <w:r>
        <w:rPr>
          <w:rFonts w:ascii="Verdana" w:eastAsia="Times New Roman" w:hAnsi="Verdana"/>
          <w:sz w:val="21"/>
          <w:szCs w:val="21"/>
        </w:rPr>
        <w:t>50% Down payment is required upon signing of the Quotation Acceptance. Balance to be paid prior to shipping of the cargo;• 50% Down payment is required upon signing of the Quotation Acceptance. Balance to be paid prior to shipping of the cargo;</w:t>
      </w:r>
    </w:p>
    <w:p w14:paraId="4AEA808D" w14:textId="77777777" w:rsidR="002A418B" w:rsidRDefault="002A418B" w:rsidP="002A418B">
      <w:pPr>
        <w:numPr>
          <w:ilvl w:val="0"/>
          <w:numId w:val="11"/>
        </w:numPr>
        <w:spacing w:before="100" w:beforeAutospacing="1" w:after="100" w:afterAutospacing="1" w:line="360" w:lineRule="auto"/>
        <w:rPr>
          <w:rFonts w:ascii="Verdana" w:eastAsia="Times New Roman" w:hAnsi="Verdana"/>
          <w:sz w:val="21"/>
          <w:szCs w:val="21"/>
        </w:rPr>
      </w:pPr>
      <w:r>
        <w:rPr>
          <w:rFonts w:ascii="Verdana" w:eastAsia="Times New Roman" w:hAnsi="Verdana"/>
          <w:sz w:val="21"/>
          <w:szCs w:val="21"/>
        </w:rPr>
        <w:t>Final charges Final charges will be based on the actual volume packed;</w:t>
      </w:r>
    </w:p>
    <w:p w14:paraId="21528DB9" w14:textId="77777777" w:rsidR="002A418B" w:rsidRDefault="002A418B" w:rsidP="002A418B">
      <w:pPr>
        <w:numPr>
          <w:ilvl w:val="0"/>
          <w:numId w:val="11"/>
        </w:numPr>
        <w:spacing w:before="100" w:beforeAutospacing="1" w:after="100" w:afterAutospacing="1" w:line="360" w:lineRule="auto"/>
        <w:rPr>
          <w:rFonts w:ascii="Verdana" w:eastAsia="Times New Roman" w:hAnsi="Verdana"/>
          <w:sz w:val="21"/>
          <w:szCs w:val="21"/>
        </w:rPr>
      </w:pPr>
      <w:r>
        <w:rPr>
          <w:rFonts w:ascii="Verdana" w:eastAsia="Times New Roman" w:hAnsi="Verdana"/>
          <w:sz w:val="21"/>
          <w:szCs w:val="21"/>
        </w:rPr>
        <w:t>A1 Global Logistics Services Co. will however, guarantee not to bill more than 10% over the actual volume, provided no items were added after the survey. </w:t>
      </w:r>
    </w:p>
    <w:p w14:paraId="66BD154D" w14:textId="77777777" w:rsidR="002A418B" w:rsidRDefault="002A418B" w:rsidP="008760D8">
      <w:pPr>
        <w:pStyle w:val="NormalWeb"/>
      </w:pPr>
    </w:p>
    <w:p w14:paraId="03F1E039" w14:textId="77777777" w:rsidR="002A418B" w:rsidRDefault="002A418B" w:rsidP="008760D8">
      <w:pPr>
        <w:pStyle w:val="NormalWeb"/>
      </w:pPr>
    </w:p>
    <w:p w14:paraId="4EB9C623" w14:textId="7EE72135" w:rsidR="008760D8" w:rsidRDefault="002A418B" w:rsidP="008760D8">
      <w:pPr>
        <w:pStyle w:val="NormalWeb"/>
      </w:pPr>
      <w:r>
        <w:rPr>
          <w:rFonts w:eastAsia="Times New Roman"/>
          <w:noProof/>
        </w:rPr>
        <w:lastRenderedPageBreak/>
        <w:drawing>
          <wp:inline distT="0" distB="0" distL="0" distR="0" wp14:anchorId="47EBF051" wp14:editId="416F1E6E">
            <wp:extent cx="4819650" cy="1895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9650" cy="1895475"/>
                    </a:xfrm>
                    <a:prstGeom prst="rect">
                      <a:avLst/>
                    </a:prstGeom>
                    <a:noFill/>
                    <a:ln>
                      <a:noFill/>
                    </a:ln>
                  </pic:spPr>
                </pic:pic>
              </a:graphicData>
            </a:graphic>
          </wp:inline>
        </w:drawing>
      </w:r>
    </w:p>
    <w:p w14:paraId="5A777924" w14:textId="77777777" w:rsidR="00851BED" w:rsidRPr="008760D8" w:rsidRDefault="00851BED" w:rsidP="008760D8">
      <w:pPr>
        <w:rPr>
          <w:rtl/>
        </w:rPr>
      </w:pPr>
    </w:p>
    <w:sectPr w:rsidR="00851BED" w:rsidRPr="008760D8" w:rsidSect="00851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63D68"/>
    <w:multiLevelType w:val="multilevel"/>
    <w:tmpl w:val="0FD01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71C21"/>
    <w:multiLevelType w:val="multilevel"/>
    <w:tmpl w:val="B0E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6303C"/>
    <w:multiLevelType w:val="multilevel"/>
    <w:tmpl w:val="5914B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38690F"/>
    <w:multiLevelType w:val="multilevel"/>
    <w:tmpl w:val="59F8E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631251"/>
    <w:multiLevelType w:val="multilevel"/>
    <w:tmpl w:val="BB96E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2E1C50"/>
    <w:multiLevelType w:val="multilevel"/>
    <w:tmpl w:val="DB363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6A3C35"/>
    <w:multiLevelType w:val="multilevel"/>
    <w:tmpl w:val="0F467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860E48"/>
    <w:multiLevelType w:val="multilevel"/>
    <w:tmpl w:val="2572C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905BCC"/>
    <w:multiLevelType w:val="multilevel"/>
    <w:tmpl w:val="CA4E8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6A7F2A"/>
    <w:multiLevelType w:val="multilevel"/>
    <w:tmpl w:val="86C0E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F76E0D"/>
    <w:multiLevelType w:val="multilevel"/>
    <w:tmpl w:val="67886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0"/>
  </w:num>
  <w:num w:numId="4">
    <w:abstractNumId w:val="3"/>
  </w:num>
  <w:num w:numId="5">
    <w:abstractNumId w:val="6"/>
  </w:num>
  <w:num w:numId="6">
    <w:abstractNumId w:val="7"/>
  </w:num>
  <w:num w:numId="7">
    <w:abstractNumId w:val="1"/>
  </w:num>
  <w:num w:numId="8">
    <w:abstractNumId w:val="5"/>
  </w:num>
  <w:num w:numId="9">
    <w:abstractNumId w:val="9"/>
  </w:num>
  <w:num w:numId="10">
    <w:abstractNumId w:val="2"/>
  </w:num>
  <w:num w:numId="1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DB"/>
    <w:rsid w:val="00047433"/>
    <w:rsid w:val="0012157B"/>
    <w:rsid w:val="00296FDB"/>
    <w:rsid w:val="002A418B"/>
    <w:rsid w:val="006E4A8C"/>
    <w:rsid w:val="007071A7"/>
    <w:rsid w:val="00851BED"/>
    <w:rsid w:val="008760D8"/>
    <w:rsid w:val="00954784"/>
    <w:rsid w:val="00B104E5"/>
    <w:rsid w:val="00B861CF"/>
    <w:rsid w:val="00C44AEA"/>
    <w:rsid w:val="00C460CC"/>
    <w:rsid w:val="00CB5A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2981"/>
  <w15:chartTrackingRefBased/>
  <w15:docId w15:val="{8FAF74D9-B172-4B67-94F6-E9124245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DB"/>
    <w:pPr>
      <w:spacing w:after="160" w:line="254" w:lineRule="auto"/>
    </w:pPr>
    <w:rPr>
      <w:rFonts w:ascii="Arial" w:hAnsi="Arial" w:cs="Arial"/>
    </w:rPr>
  </w:style>
  <w:style w:type="paragraph" w:styleId="Heading1">
    <w:name w:val="heading 1"/>
    <w:basedOn w:val="Normal"/>
    <w:link w:val="Heading1Char"/>
    <w:uiPriority w:val="9"/>
    <w:qFormat/>
    <w:rsid w:val="00296FDB"/>
    <w:pPr>
      <w:keepNext/>
      <w:spacing w:before="360" w:after="120"/>
      <w:outlineLvl w:val="0"/>
    </w:pPr>
    <w:rPr>
      <w:rFonts w:eastAsia="Times New Roman"/>
      <w:b/>
      <w:bCs/>
      <w:color w:val="2A2922"/>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FDB"/>
    <w:rPr>
      <w:rFonts w:ascii="Arial" w:eastAsia="Times New Roman" w:hAnsi="Arial" w:cs="Arial"/>
      <w:b/>
      <w:bCs/>
      <w:color w:val="2A2922"/>
      <w:kern w:val="36"/>
      <w:sz w:val="32"/>
      <w:szCs w:val="32"/>
    </w:rPr>
  </w:style>
  <w:style w:type="paragraph" w:customStyle="1" w:styleId="auto-style19">
    <w:name w:val="auto-style19"/>
    <w:basedOn w:val="Normal"/>
    <w:rsid w:val="00296FDB"/>
    <w:pPr>
      <w:spacing w:before="100" w:beforeAutospacing="1" w:after="100" w:afterAutospacing="1" w:line="240" w:lineRule="auto"/>
    </w:pPr>
    <w:rPr>
      <w:rFonts w:ascii="Calibri" w:hAnsi="Calibri" w:cs="Calibri"/>
    </w:rPr>
  </w:style>
  <w:style w:type="paragraph" w:customStyle="1" w:styleId="auto-style21">
    <w:name w:val="auto-style21"/>
    <w:basedOn w:val="Normal"/>
    <w:rsid w:val="00296FDB"/>
    <w:pPr>
      <w:spacing w:before="100" w:beforeAutospacing="1" w:after="100" w:afterAutospacing="1" w:line="240" w:lineRule="auto"/>
    </w:pPr>
    <w:rPr>
      <w:rFonts w:ascii="Calibri" w:hAnsi="Calibri" w:cs="Calibri"/>
    </w:rPr>
  </w:style>
  <w:style w:type="paragraph" w:customStyle="1" w:styleId="auto-style22">
    <w:name w:val="auto-style22"/>
    <w:basedOn w:val="Normal"/>
    <w:rsid w:val="00296FDB"/>
    <w:pPr>
      <w:spacing w:after="0" w:line="240" w:lineRule="auto"/>
      <w:jc w:val="both"/>
    </w:pPr>
    <w:rPr>
      <w:rFonts w:ascii="Times New Roman" w:hAnsi="Times New Roman" w:cs="Times New Roman"/>
      <w:sz w:val="24"/>
      <w:szCs w:val="24"/>
    </w:rPr>
  </w:style>
  <w:style w:type="paragraph" w:customStyle="1" w:styleId="auto-style23">
    <w:name w:val="auto-style23"/>
    <w:basedOn w:val="Normal"/>
    <w:rsid w:val="00296FDB"/>
    <w:pPr>
      <w:spacing w:after="0" w:line="240" w:lineRule="auto"/>
      <w:ind w:left="720" w:hanging="360"/>
      <w:jc w:val="both"/>
    </w:pPr>
    <w:rPr>
      <w:rFonts w:ascii="Times New Roman" w:hAnsi="Times New Roman" w:cs="Times New Roman"/>
      <w:sz w:val="24"/>
      <w:szCs w:val="24"/>
    </w:rPr>
  </w:style>
  <w:style w:type="paragraph" w:customStyle="1" w:styleId="auto-style24">
    <w:name w:val="auto-style24"/>
    <w:basedOn w:val="Normal"/>
    <w:rsid w:val="00296FDB"/>
    <w:pPr>
      <w:spacing w:after="0" w:line="240" w:lineRule="auto"/>
      <w:ind w:left="360"/>
      <w:jc w:val="both"/>
    </w:pPr>
    <w:rPr>
      <w:rFonts w:ascii="Times New Roman" w:hAnsi="Times New Roman" w:cs="Times New Roman"/>
      <w:sz w:val="24"/>
      <w:szCs w:val="24"/>
    </w:rPr>
  </w:style>
  <w:style w:type="character" w:styleId="Hyperlink">
    <w:name w:val="Hyperlink"/>
    <w:basedOn w:val="DefaultParagraphFont"/>
    <w:uiPriority w:val="99"/>
    <w:semiHidden/>
    <w:unhideWhenUsed/>
    <w:rsid w:val="00C44AEA"/>
    <w:rPr>
      <w:color w:val="0000FF"/>
      <w:u w:val="single"/>
    </w:rPr>
  </w:style>
  <w:style w:type="paragraph" w:customStyle="1" w:styleId="auto-style14">
    <w:name w:val="auto-style14"/>
    <w:basedOn w:val="Normal"/>
    <w:rsid w:val="00C44AEA"/>
    <w:pPr>
      <w:spacing w:before="100" w:beforeAutospacing="1" w:after="100" w:afterAutospacing="1" w:line="300" w:lineRule="auto"/>
    </w:pPr>
    <w:rPr>
      <w:rFonts w:ascii="Calibri" w:hAnsi="Calibri" w:cs="Calibri"/>
      <w:sz w:val="27"/>
      <w:szCs w:val="27"/>
    </w:rPr>
  </w:style>
  <w:style w:type="paragraph" w:customStyle="1" w:styleId="auto-style15">
    <w:name w:val="auto-style15"/>
    <w:basedOn w:val="Normal"/>
    <w:rsid w:val="00C44AEA"/>
    <w:pPr>
      <w:spacing w:before="100" w:beforeAutospacing="1" w:after="100" w:afterAutospacing="1" w:line="300" w:lineRule="auto"/>
      <w:ind w:left="450"/>
    </w:pPr>
    <w:rPr>
      <w:rFonts w:ascii="Calibri" w:hAnsi="Calibri" w:cs="Calibri"/>
      <w:sz w:val="27"/>
      <w:szCs w:val="27"/>
    </w:rPr>
  </w:style>
  <w:style w:type="paragraph" w:customStyle="1" w:styleId="auto-style33">
    <w:name w:val="auto-style33"/>
    <w:basedOn w:val="Normal"/>
    <w:rsid w:val="00C44AEA"/>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8760D8"/>
    <w:pPr>
      <w:spacing w:before="100" w:beforeAutospacing="1" w:after="100" w:afterAutospacing="1" w:line="240" w:lineRule="auto"/>
    </w:pPr>
    <w:rPr>
      <w:rFonts w:ascii="Calibri" w:hAnsi="Calibri" w:cs="Calibri"/>
    </w:rPr>
  </w:style>
  <w:style w:type="character" w:customStyle="1" w:styleId="auto-style421">
    <w:name w:val="auto-style421"/>
    <w:basedOn w:val="DefaultParagraphFont"/>
    <w:rsid w:val="008760D8"/>
    <w:rPr>
      <w:shd w:val="clear" w:color="auto" w:fill="FFFF00"/>
    </w:rPr>
  </w:style>
  <w:style w:type="character" w:styleId="Emphasis">
    <w:name w:val="Emphasis"/>
    <w:basedOn w:val="DefaultParagraphFont"/>
    <w:uiPriority w:val="20"/>
    <w:qFormat/>
    <w:rsid w:val="008760D8"/>
    <w:rPr>
      <w:i/>
      <w:iCs/>
    </w:rPr>
  </w:style>
  <w:style w:type="character" w:styleId="Strong">
    <w:name w:val="Strong"/>
    <w:basedOn w:val="DefaultParagraphFont"/>
    <w:uiPriority w:val="22"/>
    <w:qFormat/>
    <w:rsid w:val="008760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80662">
      <w:bodyDiv w:val="1"/>
      <w:marLeft w:val="0"/>
      <w:marRight w:val="0"/>
      <w:marTop w:val="0"/>
      <w:marBottom w:val="0"/>
      <w:divBdr>
        <w:top w:val="none" w:sz="0" w:space="0" w:color="auto"/>
        <w:left w:val="none" w:sz="0" w:space="0" w:color="auto"/>
        <w:bottom w:val="none" w:sz="0" w:space="0" w:color="auto"/>
        <w:right w:val="none" w:sz="0" w:space="0" w:color="auto"/>
      </w:divBdr>
    </w:div>
    <w:div w:id="427163918">
      <w:bodyDiv w:val="1"/>
      <w:marLeft w:val="0"/>
      <w:marRight w:val="0"/>
      <w:marTop w:val="0"/>
      <w:marBottom w:val="0"/>
      <w:divBdr>
        <w:top w:val="none" w:sz="0" w:space="0" w:color="auto"/>
        <w:left w:val="none" w:sz="0" w:space="0" w:color="auto"/>
        <w:bottom w:val="none" w:sz="0" w:space="0" w:color="auto"/>
        <w:right w:val="none" w:sz="0" w:space="0" w:color="auto"/>
      </w:divBdr>
    </w:div>
    <w:div w:id="838080587">
      <w:bodyDiv w:val="1"/>
      <w:marLeft w:val="0"/>
      <w:marRight w:val="0"/>
      <w:marTop w:val="0"/>
      <w:marBottom w:val="0"/>
      <w:divBdr>
        <w:top w:val="none" w:sz="0" w:space="0" w:color="auto"/>
        <w:left w:val="none" w:sz="0" w:space="0" w:color="auto"/>
        <w:bottom w:val="none" w:sz="0" w:space="0" w:color="auto"/>
        <w:right w:val="none" w:sz="0" w:space="0" w:color="auto"/>
      </w:divBdr>
    </w:div>
    <w:div w:id="1388993549">
      <w:bodyDiv w:val="1"/>
      <w:marLeft w:val="0"/>
      <w:marRight w:val="0"/>
      <w:marTop w:val="0"/>
      <w:marBottom w:val="0"/>
      <w:divBdr>
        <w:top w:val="none" w:sz="0" w:space="0" w:color="auto"/>
        <w:left w:val="none" w:sz="0" w:space="0" w:color="auto"/>
        <w:bottom w:val="none" w:sz="0" w:space="0" w:color="auto"/>
        <w:right w:val="none" w:sz="0" w:space="0" w:color="auto"/>
      </w:divBdr>
    </w:div>
    <w:div w:id="1490437075">
      <w:bodyDiv w:val="1"/>
      <w:marLeft w:val="0"/>
      <w:marRight w:val="0"/>
      <w:marTop w:val="0"/>
      <w:marBottom w:val="0"/>
      <w:divBdr>
        <w:top w:val="none" w:sz="0" w:space="0" w:color="auto"/>
        <w:left w:val="none" w:sz="0" w:space="0" w:color="auto"/>
        <w:bottom w:val="none" w:sz="0" w:space="0" w:color="auto"/>
        <w:right w:val="none" w:sz="0" w:space="0" w:color="auto"/>
      </w:divBdr>
    </w:div>
    <w:div w:id="196982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Shey Chrysler</dc:creator>
  <cp:keywords/>
  <dc:description/>
  <cp:lastModifiedBy>Shey Chrysler</cp:lastModifiedBy>
  <cp:revision>6</cp:revision>
  <dcterms:created xsi:type="dcterms:W3CDTF">2021-07-07T12:32:00Z</dcterms:created>
  <dcterms:modified xsi:type="dcterms:W3CDTF">2021-07-08T10:43:00Z</dcterms:modified>
</cp:coreProperties>
</file>