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FB8C"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shd w:val="clear" w:color="auto" w:fill="FFFF00"/>
          <w:lang w:bidi="he-IL"/>
        </w:rPr>
        <w:t>Destination LCL</w:t>
      </w:r>
      <w:r w:rsidRPr="004B3A62">
        <w:rPr>
          <w:rFonts w:ascii="Tahoma" w:eastAsia="Times New Roman" w:hAnsi="Tahoma" w:cs="Tahoma"/>
          <w:b/>
          <w:bCs/>
          <w:sz w:val="24"/>
          <w:szCs w:val="24"/>
          <w:lang w:bidi="he-IL"/>
        </w:rPr>
        <w:t> </w:t>
      </w:r>
    </w:p>
    <w:p w14:paraId="5D5C232B"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32BE0575"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Includes:</w:t>
      </w:r>
    </w:p>
    <w:tbl>
      <w:tblPr>
        <w:tblW w:w="0" w:type="auto"/>
        <w:tblCellMar>
          <w:top w:w="15" w:type="dxa"/>
          <w:left w:w="15" w:type="dxa"/>
          <w:bottom w:w="15" w:type="dxa"/>
          <w:right w:w="15" w:type="dxa"/>
        </w:tblCellMar>
        <w:tblLook w:val="04A0" w:firstRow="1" w:lastRow="0" w:firstColumn="1" w:lastColumn="0" w:noHBand="0" w:noVBand="1"/>
      </w:tblPr>
      <w:tblGrid>
        <w:gridCol w:w="9058"/>
      </w:tblGrid>
      <w:tr w:rsidR="004B3A62" w:rsidRPr="004B3A62" w14:paraId="58FE0004" w14:textId="77777777" w:rsidTr="004B3A62">
        <w:trPr>
          <w:trHeight w:val="241"/>
        </w:trPr>
        <w:tc>
          <w:tcPr>
            <w:tcW w:w="9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4355E"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Port forwarding and bonded transit transportation (in combination truck)</w:t>
            </w:r>
          </w:p>
          <w:p w14:paraId="53E02526"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from POE Tallinn, Estonia to customs terminal in Moscow, Russia</w:t>
            </w:r>
          </w:p>
        </w:tc>
      </w:tr>
      <w:tr w:rsidR="004B3A62" w:rsidRPr="004B3A62" w14:paraId="53415881" w14:textId="77777777" w:rsidTr="004B3A62">
        <w:trPr>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5371CC"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Normal import customs clearance for used HHG´s</w:t>
            </w:r>
          </w:p>
        </w:tc>
      </w:tr>
      <w:tr w:rsidR="004B3A62" w:rsidRPr="004B3A62" w14:paraId="01BBD004" w14:textId="77777777" w:rsidTr="004B3A62">
        <w:trPr>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ED2BF3"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Pick up from customs terminal</w:t>
            </w:r>
          </w:p>
        </w:tc>
      </w:tr>
      <w:tr w:rsidR="004B3A62" w:rsidRPr="004B3A62" w14:paraId="1A458B50" w14:textId="77777777" w:rsidTr="004B3A62">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27C88D"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Delivery to residence of normal access within city limits</w:t>
            </w:r>
          </w:p>
        </w:tc>
      </w:tr>
      <w:tr w:rsidR="004B3A62" w:rsidRPr="004B3A62" w14:paraId="4F15BD64" w14:textId="77777777" w:rsidTr="004B3A62">
        <w:trPr>
          <w:trHeight w:val="14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E4E7B"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 xml:space="preserve">Unpacking of boxes to a </w:t>
            </w:r>
            <w:proofErr w:type="gramStart"/>
            <w:r w:rsidRPr="004B3A62">
              <w:rPr>
                <w:rFonts w:ascii="Tahoma" w:eastAsia="Times New Roman" w:hAnsi="Tahoma" w:cs="Tahoma"/>
                <w:sz w:val="24"/>
                <w:szCs w:val="24"/>
                <w:lang w:bidi="he-IL"/>
              </w:rPr>
              <w:t>counter top</w:t>
            </w:r>
            <w:proofErr w:type="gramEnd"/>
            <w:r w:rsidRPr="004B3A62">
              <w:rPr>
                <w:rFonts w:ascii="Tahoma" w:eastAsia="Times New Roman" w:hAnsi="Tahoma" w:cs="Tahoma"/>
                <w:sz w:val="24"/>
                <w:szCs w:val="24"/>
                <w:lang w:bidi="he-IL"/>
              </w:rPr>
              <w:t> or table top surface</w:t>
            </w:r>
          </w:p>
        </w:tc>
      </w:tr>
      <w:tr w:rsidR="004B3A62" w:rsidRPr="004B3A62" w14:paraId="41263CE9" w14:textId="77777777" w:rsidTr="004B3A62">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0F9726"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Normal placing and re-assembly of furniture</w:t>
            </w:r>
          </w:p>
        </w:tc>
      </w:tr>
      <w:tr w:rsidR="004B3A62" w:rsidRPr="004B3A62" w14:paraId="35A99054" w14:textId="77777777" w:rsidTr="004B3A62">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B81A5"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Removal of debris at the time of delivery</w:t>
            </w:r>
          </w:p>
        </w:tc>
      </w:tr>
    </w:tbl>
    <w:p w14:paraId="4512A3E2"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tbl>
      <w:tblPr>
        <w:tblW w:w="9075" w:type="dxa"/>
        <w:tblCellMar>
          <w:top w:w="15" w:type="dxa"/>
          <w:left w:w="15" w:type="dxa"/>
          <w:bottom w:w="15" w:type="dxa"/>
          <w:right w:w="15" w:type="dxa"/>
        </w:tblCellMar>
        <w:tblLook w:val="04A0" w:firstRow="1" w:lastRow="0" w:firstColumn="1" w:lastColumn="0" w:noHBand="0" w:noVBand="1"/>
      </w:tblPr>
      <w:tblGrid>
        <w:gridCol w:w="9075"/>
      </w:tblGrid>
      <w:tr w:rsidR="004B3A62" w:rsidRPr="004B3A62" w14:paraId="03F094E0" w14:textId="77777777" w:rsidTr="004B3A62">
        <w:trPr>
          <w:trHeight w:val="205"/>
        </w:trPr>
        <w:tc>
          <w:tcPr>
            <w:tcW w:w="9075" w:type="dxa"/>
            <w:tcBorders>
              <w:bottom w:val="single" w:sz="8" w:space="0" w:color="000000"/>
            </w:tcBorders>
            <w:shd w:val="clear" w:color="auto" w:fill="FFFFFF"/>
            <w:tcMar>
              <w:top w:w="0" w:type="dxa"/>
              <w:left w:w="108" w:type="dxa"/>
              <w:bottom w:w="0" w:type="dxa"/>
              <w:right w:w="108" w:type="dxa"/>
            </w:tcMar>
            <w:hideMark/>
          </w:tcPr>
          <w:p w14:paraId="7725E5DF"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Excludes:</w:t>
            </w:r>
          </w:p>
        </w:tc>
      </w:tr>
      <w:tr w:rsidR="004B3A62" w:rsidRPr="004B3A62" w14:paraId="7A2B25A4" w14:textId="77777777" w:rsidTr="004B3A62">
        <w:trPr>
          <w:trHeight w:val="237"/>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8C0867"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Import duties 4 € / kg, taxes and government fees as per client’s status and provided paperwork</w:t>
            </w:r>
          </w:p>
        </w:tc>
      </w:tr>
      <w:tr w:rsidR="004B3A62" w:rsidRPr="004B3A62" w14:paraId="6AB7D6B7"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FF6B1"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DTHC, local port charges, consolidators + NVOCC will be billed back @ cost before delivery</w:t>
            </w:r>
          </w:p>
        </w:tc>
      </w:tr>
      <w:tr w:rsidR="004B3A62" w:rsidRPr="004B3A62" w14:paraId="228D1747"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51255"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Charges for overflow volume</w:t>
            </w:r>
          </w:p>
        </w:tc>
      </w:tr>
      <w:tr w:rsidR="004B3A62" w:rsidRPr="004B3A62" w14:paraId="626AF71E"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C2D4D0"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Storage and warehouse handling, seaport storage</w:t>
            </w:r>
          </w:p>
        </w:tc>
      </w:tr>
      <w:tr w:rsidR="004B3A62" w:rsidRPr="004B3A62" w14:paraId="0D8C0C6D"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725A5"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Abnormal access, long / stair carry, delivery above 2nd floor without elevator, parking expenses</w:t>
            </w:r>
          </w:p>
        </w:tc>
      </w:tr>
      <w:tr w:rsidR="004B3A62" w:rsidRPr="004B3A62" w14:paraId="419226C1"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C57123"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Assembly of complex pieces of furniture, any items requiring specialized handling / equipment</w:t>
            </w:r>
          </w:p>
        </w:tc>
      </w:tr>
      <w:tr w:rsidR="004B3A62" w:rsidRPr="004B3A62" w14:paraId="66A67D9D"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E58831"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Special services and 3rd party services, handyman</w:t>
            </w:r>
          </w:p>
        </w:tc>
      </w:tr>
      <w:tr w:rsidR="004B3A62" w:rsidRPr="004B3A62" w14:paraId="288E8F88"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DEA9F"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Insurance coverage, handling of vehicles and cultural items</w:t>
            </w:r>
          </w:p>
        </w:tc>
      </w:tr>
      <w:tr w:rsidR="004B3A62" w:rsidRPr="004B3A62" w14:paraId="2DAE1596"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52FF9"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Customs inspection and physical examination related costs</w:t>
            </w:r>
          </w:p>
        </w:tc>
      </w:tr>
      <w:tr w:rsidR="004B3A62" w:rsidRPr="004B3A62" w14:paraId="40D09DE1"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EE2D4"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Handling of heavy or oversized items (piano, safe, etc.)</w:t>
            </w:r>
          </w:p>
        </w:tc>
      </w:tr>
      <w:tr w:rsidR="004B3A62" w:rsidRPr="004B3A62" w14:paraId="718F772E" w14:textId="77777777" w:rsidTr="004B3A62">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45A9CA"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Multiple deliveries and other charges that are not associated with normal HHG’s removals</w:t>
            </w:r>
          </w:p>
        </w:tc>
      </w:tr>
    </w:tbl>
    <w:p w14:paraId="27DC26E2"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43CC79A7"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u w:val="single"/>
          <w:shd w:val="clear" w:color="auto" w:fill="FFFF00"/>
          <w:lang w:bidi="he-IL"/>
        </w:rPr>
        <w:t>Destination FCL</w:t>
      </w:r>
    </w:p>
    <w:p w14:paraId="1663D56F"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0EFFCE08"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Includes:</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9350"/>
      </w:tblGrid>
      <w:tr w:rsidR="004B3A62" w:rsidRPr="004B3A62" w14:paraId="53C7A6F0" w14:textId="77777777" w:rsidTr="004B3A62">
        <w:trPr>
          <w:trHeight w:val="241"/>
        </w:trPr>
        <w:tc>
          <w:tcPr>
            <w:tcW w:w="9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FC00F"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Port forwarding and bonded transit transportation from St. Petersburg to customs terminal in Moscow = 750 km</w:t>
            </w:r>
          </w:p>
        </w:tc>
      </w:tr>
      <w:tr w:rsidR="004B3A62" w:rsidRPr="004B3A62" w14:paraId="4089D373" w14:textId="77777777" w:rsidTr="004B3A62">
        <w:trPr>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5C1477"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Normal import customs clearance for used Household Goods</w:t>
            </w:r>
          </w:p>
        </w:tc>
      </w:tr>
      <w:tr w:rsidR="004B3A62" w:rsidRPr="004B3A62" w14:paraId="46F42226" w14:textId="77777777" w:rsidTr="004B3A62">
        <w:trPr>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81C1CA"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Unloading of the container at our warehouse, return of empty container</w:t>
            </w:r>
          </w:p>
        </w:tc>
      </w:tr>
      <w:tr w:rsidR="004B3A62" w:rsidRPr="004B3A62" w14:paraId="7FDD0FAD" w14:textId="77777777" w:rsidTr="004B3A62">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CED564"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Delivery to residence of normal access within city limits</w:t>
            </w:r>
          </w:p>
        </w:tc>
      </w:tr>
      <w:tr w:rsidR="004B3A62" w:rsidRPr="004B3A62" w14:paraId="0960A056" w14:textId="77777777" w:rsidTr="004B3A62">
        <w:trPr>
          <w:trHeight w:val="160"/>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F6272"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 xml:space="preserve">Unpacking of boxes to a </w:t>
            </w:r>
            <w:proofErr w:type="gramStart"/>
            <w:r w:rsidRPr="004B3A62">
              <w:rPr>
                <w:rFonts w:ascii="Tahoma" w:eastAsia="Times New Roman" w:hAnsi="Tahoma" w:cs="Tahoma"/>
                <w:sz w:val="24"/>
                <w:szCs w:val="24"/>
                <w:lang w:bidi="he-IL"/>
              </w:rPr>
              <w:t>counter top</w:t>
            </w:r>
            <w:proofErr w:type="gramEnd"/>
            <w:r w:rsidRPr="004B3A62">
              <w:rPr>
                <w:rFonts w:ascii="Tahoma" w:eastAsia="Times New Roman" w:hAnsi="Tahoma" w:cs="Tahoma"/>
                <w:sz w:val="24"/>
                <w:szCs w:val="24"/>
                <w:lang w:bidi="he-IL"/>
              </w:rPr>
              <w:t> or table top surface</w:t>
            </w:r>
          </w:p>
        </w:tc>
      </w:tr>
      <w:tr w:rsidR="004B3A62" w:rsidRPr="004B3A62" w14:paraId="512BB43C" w14:textId="77777777" w:rsidTr="004B3A62">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F3AC74"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Normal placing and re-assembly of furniture</w:t>
            </w:r>
          </w:p>
        </w:tc>
      </w:tr>
      <w:tr w:rsidR="004B3A62" w:rsidRPr="004B3A62" w14:paraId="7980A169" w14:textId="77777777" w:rsidTr="004B3A62">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E3053"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Removal of debris at the time of delivery</w:t>
            </w:r>
          </w:p>
        </w:tc>
      </w:tr>
      <w:tr w:rsidR="004B3A62" w:rsidRPr="004B3A62" w14:paraId="35816F51" w14:textId="77777777" w:rsidTr="004B3A62">
        <w:trPr>
          <w:trHeight w:val="205"/>
        </w:trPr>
        <w:tc>
          <w:tcPr>
            <w:tcW w:w="0" w:type="auto"/>
            <w:tcBorders>
              <w:bottom w:val="single" w:sz="8" w:space="0" w:color="000000"/>
            </w:tcBorders>
            <w:shd w:val="clear" w:color="auto" w:fill="FFFFFF"/>
            <w:tcMar>
              <w:top w:w="0" w:type="dxa"/>
              <w:left w:w="108" w:type="dxa"/>
              <w:bottom w:w="0" w:type="dxa"/>
              <w:right w:w="108" w:type="dxa"/>
            </w:tcMar>
            <w:hideMark/>
          </w:tcPr>
          <w:p w14:paraId="56BD415D"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 Excludes:</w:t>
            </w:r>
          </w:p>
        </w:tc>
      </w:tr>
      <w:tr w:rsidR="004B3A62" w:rsidRPr="004B3A62" w14:paraId="0A7A3BD2" w14:textId="77777777" w:rsidTr="004B3A62">
        <w:trPr>
          <w:trHeight w:val="237"/>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984ACC"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lastRenderedPageBreak/>
              <w:t>Import duties 4 € / kg, taxes and government fees as per client’s status and provided paperwork</w:t>
            </w:r>
          </w:p>
        </w:tc>
      </w:tr>
      <w:tr w:rsidR="004B3A62" w:rsidRPr="004B3A62" w14:paraId="04250E21"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59440"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DTHC, local port charges and NVOCC @ cost </w:t>
            </w:r>
            <w:proofErr w:type="gramStart"/>
            <w:r w:rsidRPr="004B3A62">
              <w:rPr>
                <w:rFonts w:ascii="Tahoma" w:eastAsia="Times New Roman" w:hAnsi="Tahoma" w:cs="Tahoma"/>
                <w:sz w:val="24"/>
                <w:szCs w:val="24"/>
                <w:lang w:bidi="he-IL"/>
              </w:rPr>
              <w:t>( ≈</w:t>
            </w:r>
            <w:proofErr w:type="gramEnd"/>
            <w:r w:rsidRPr="004B3A62">
              <w:rPr>
                <w:rFonts w:ascii="Tahoma" w:eastAsia="Times New Roman" w:hAnsi="Tahoma" w:cs="Tahoma"/>
                <w:sz w:val="24"/>
                <w:szCs w:val="24"/>
                <w:lang w:bidi="he-IL"/>
              </w:rPr>
              <w:t> 500-600 € depending on SL), if not prepaid!</w:t>
            </w:r>
          </w:p>
        </w:tc>
      </w:tr>
      <w:tr w:rsidR="004B3A62" w:rsidRPr="004B3A62" w14:paraId="1F5F1FCA"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9BC847"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 xml:space="preserve">Assistance with payment of duties / taxes to Russian customs authorities @ </w:t>
            </w:r>
            <w:proofErr w:type="gramStart"/>
            <w:r w:rsidRPr="004B3A62">
              <w:rPr>
                <w:rFonts w:ascii="Tahoma" w:eastAsia="Times New Roman" w:hAnsi="Tahoma" w:cs="Tahoma"/>
                <w:sz w:val="24"/>
                <w:szCs w:val="24"/>
                <w:lang w:bidi="he-IL"/>
              </w:rPr>
              <w:t>150,-</w:t>
            </w:r>
            <w:proofErr w:type="gramEnd"/>
            <w:r w:rsidRPr="004B3A62">
              <w:rPr>
                <w:rFonts w:ascii="Tahoma" w:eastAsia="Times New Roman" w:hAnsi="Tahoma" w:cs="Tahoma"/>
                <w:sz w:val="24"/>
                <w:szCs w:val="24"/>
                <w:lang w:bidi="he-IL"/>
              </w:rPr>
              <w:t> € / client</w:t>
            </w:r>
          </w:p>
        </w:tc>
      </w:tr>
      <w:tr w:rsidR="004B3A62" w:rsidRPr="004B3A62" w14:paraId="5ABB6F99"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3539D"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Storage (7,50 € / m³ / month or part thereof) + warehouse handling (7,50 € / m³ in + out each)</w:t>
            </w:r>
          </w:p>
        </w:tc>
      </w:tr>
      <w:tr w:rsidR="004B3A62" w:rsidRPr="004B3A62" w14:paraId="3564972D"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517F2"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Abnormal access, long / stair carry, delivery above 2nd floor with no elevator, parking expenses</w:t>
            </w:r>
          </w:p>
        </w:tc>
      </w:tr>
      <w:tr w:rsidR="004B3A62" w:rsidRPr="004B3A62" w14:paraId="2F88C905"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86147"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Assembly of complex pieces of furniture, any items requiring specialized handling / equipment</w:t>
            </w:r>
          </w:p>
        </w:tc>
      </w:tr>
      <w:tr w:rsidR="004B3A62" w:rsidRPr="004B3A62" w14:paraId="37A8FAF3"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491C5"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Special services and 3rd party services, handyman</w:t>
            </w:r>
          </w:p>
        </w:tc>
      </w:tr>
      <w:tr w:rsidR="004B3A62" w:rsidRPr="004B3A62" w14:paraId="4339B201"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00195"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Insurance coverage, handling of vehicles and cultural items</w:t>
            </w:r>
          </w:p>
        </w:tc>
      </w:tr>
      <w:tr w:rsidR="004B3A62" w:rsidRPr="004B3A62" w14:paraId="0DF142A2"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6EBA64"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Customs inspection and physical examination related costs</w:t>
            </w:r>
          </w:p>
        </w:tc>
      </w:tr>
      <w:tr w:rsidR="004B3A62" w:rsidRPr="004B3A62" w14:paraId="418EDA6A"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5EC15"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Handling of heavy or oversized items (piano, safe, etc.)</w:t>
            </w:r>
          </w:p>
        </w:tc>
      </w:tr>
      <w:tr w:rsidR="004B3A62" w:rsidRPr="004B3A62" w14:paraId="4D6E2AF0" w14:textId="77777777" w:rsidTr="004B3A62">
        <w:trPr>
          <w:trHeight w:val="205"/>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DE6DB" w14:textId="77777777" w:rsidR="004B3A62" w:rsidRPr="004B3A62" w:rsidRDefault="004B3A62" w:rsidP="004B3A62">
            <w:pPr>
              <w:spacing w:after="0" w:line="240" w:lineRule="auto"/>
              <w:rPr>
                <w:rFonts w:ascii="Times New Roman" w:eastAsia="Times New Roman" w:hAnsi="Times New Roman" w:cs="Times New Roman"/>
                <w:sz w:val="18"/>
                <w:szCs w:val="18"/>
                <w:lang w:bidi="he-IL"/>
              </w:rPr>
            </w:pPr>
            <w:r w:rsidRPr="004B3A62">
              <w:rPr>
                <w:rFonts w:ascii="Tahoma" w:eastAsia="Times New Roman" w:hAnsi="Tahoma" w:cs="Tahoma"/>
                <w:sz w:val="24"/>
                <w:szCs w:val="24"/>
                <w:lang w:bidi="he-IL"/>
              </w:rPr>
              <w:t>Multiple deliveries and other charges that are not associated with normal HHG’s removals</w:t>
            </w:r>
          </w:p>
        </w:tc>
      </w:tr>
    </w:tbl>
    <w:p w14:paraId="167208B0"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2FC41710"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10B59376"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u w:val="single"/>
          <w:shd w:val="clear" w:color="auto" w:fill="FFFF00"/>
          <w:lang w:bidi="he-IL"/>
        </w:rPr>
        <w:t>Registration of Cultural Items:</w:t>
      </w:r>
    </w:p>
    <w:p w14:paraId="20E6D6C2"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52C98F7E"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Certain items are classified as "items of cultural value or cultural designation" by Russian customs and are subjected to special regulations of transfer through customs border (paintings, musical instruments, weapons, medals, items over 50 years old, etc.). Permission documents are required for all artwork and antiques regardless of where they were purchased or imported from.</w:t>
      </w:r>
    </w:p>
    <w:p w14:paraId="1992A566"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29DFFE9E"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1137AE98"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u w:val="single"/>
          <w:shd w:val="clear" w:color="auto" w:fill="FFFF00"/>
          <w:lang w:bidi="he-IL"/>
        </w:rPr>
        <w:t>General Terms and Conditions:</w:t>
      </w:r>
    </w:p>
    <w:p w14:paraId="2031C3BB"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302E8D7D"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This quotation is valid for the period of 30 days from this date and the general rates are quoted in EUROS.</w:t>
      </w:r>
    </w:p>
    <w:p w14:paraId="04F6C2DD"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099E5295"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Freight charges are based on today’s freight and exchange rates. We reserve the right to adjust these rates should the need arise, due to fluctuations in underlying services.</w:t>
      </w:r>
    </w:p>
    <w:p w14:paraId="19D2DDBF"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4991A408"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xml:space="preserve">This quotation will terminate if the underlying transportation costs increase as a result of any Acts of God such as war, strikes, riots, rebellion, </w:t>
      </w:r>
      <w:proofErr w:type="gramStart"/>
      <w:r w:rsidRPr="004B3A62">
        <w:rPr>
          <w:rFonts w:ascii="Tahoma" w:eastAsia="Times New Roman" w:hAnsi="Tahoma" w:cs="Tahoma"/>
          <w:sz w:val="24"/>
          <w:szCs w:val="24"/>
          <w:lang w:bidi="he-IL"/>
        </w:rPr>
        <w:t>lock-outs</w:t>
      </w:r>
      <w:proofErr w:type="gramEnd"/>
      <w:r w:rsidRPr="004B3A62">
        <w:rPr>
          <w:rFonts w:ascii="Tahoma" w:eastAsia="Times New Roman" w:hAnsi="Tahoma" w:cs="Tahoma"/>
          <w:sz w:val="24"/>
          <w:szCs w:val="24"/>
          <w:lang w:bidi="he-IL"/>
        </w:rPr>
        <w:t>, etc.</w:t>
      </w:r>
    </w:p>
    <w:p w14:paraId="734E90DC"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28182C7A"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All business of whatsoever nature, be it as agents or as principal with any party whatsoever, shall solely be conducted in accordance with the </w:t>
      </w:r>
      <w:hyperlink r:id="rId4" w:history="1">
        <w:r w:rsidRPr="004B3A62">
          <w:rPr>
            <w:rFonts w:ascii="Tahoma" w:eastAsia="Times New Roman" w:hAnsi="Tahoma" w:cs="Tahoma"/>
            <w:sz w:val="24"/>
            <w:szCs w:val="24"/>
            <w:u w:val="single"/>
            <w:lang w:bidi="he-IL"/>
          </w:rPr>
          <w:t>FIDI Professional Cooperation Guidelines (PCGs)</w:t>
        </w:r>
      </w:hyperlink>
      <w:r w:rsidRPr="004B3A62">
        <w:rPr>
          <w:rFonts w:ascii="Tahoma" w:eastAsia="Times New Roman" w:hAnsi="Tahoma" w:cs="Tahoma"/>
          <w:sz w:val="24"/>
          <w:szCs w:val="24"/>
          <w:lang w:bidi="he-IL"/>
        </w:rPr>
        <w:t> latest edition.</w:t>
      </w:r>
    </w:p>
    <w:p w14:paraId="426F152B"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lastRenderedPageBreak/>
        <w:t> </w:t>
      </w:r>
    </w:p>
    <w:p w14:paraId="3A8BEC16"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24ECDD30"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u w:val="single"/>
          <w:shd w:val="clear" w:color="auto" w:fill="FFFF00"/>
          <w:lang w:bidi="he-IL"/>
        </w:rPr>
        <w:t>Payment conditions:</w:t>
      </w:r>
    </w:p>
    <w:p w14:paraId="2DEE4212"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286978E5"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The invoice will be based on the actual volume/ weight and space / equipment / transport availability. IMS requires prepayment unless otherwise specified. Charges paid by IMS (e.g. THC, customs duties, storage, etc.) will be billed back at actual + pre-financing fee.</w:t>
      </w:r>
    </w:p>
    <w:p w14:paraId="714FA030"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16C137B8" w14:textId="77777777" w:rsidR="004B3A62" w:rsidRPr="004B3A62" w:rsidRDefault="004B3A62" w:rsidP="004B3A62">
      <w:pPr>
        <w:shd w:val="clear" w:color="auto" w:fill="FFFFFF"/>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lang w:bidi="he-IL"/>
        </w:rPr>
        <w:t> </w:t>
      </w:r>
    </w:p>
    <w:p w14:paraId="0D833F13"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lang w:bidi="he-IL"/>
        </w:rPr>
        <w:t> </w:t>
      </w:r>
    </w:p>
    <w:p w14:paraId="7F177C56"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lang w:bidi="he-IL"/>
        </w:rPr>
        <w:t> </w:t>
      </w:r>
    </w:p>
    <w:p w14:paraId="4309F789"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shd w:val="clear" w:color="auto" w:fill="FFFFFF"/>
          <w:lang w:bidi="he-IL"/>
        </w:rPr>
        <w:t>Ekaterina </w:t>
      </w:r>
      <w:proofErr w:type="spellStart"/>
      <w:r w:rsidRPr="004B3A62">
        <w:rPr>
          <w:rFonts w:ascii="Tahoma" w:eastAsia="Times New Roman" w:hAnsi="Tahoma" w:cs="Tahoma"/>
          <w:b/>
          <w:bCs/>
          <w:sz w:val="24"/>
          <w:szCs w:val="24"/>
          <w:shd w:val="clear" w:color="auto" w:fill="FFFFFF"/>
          <w:lang w:bidi="he-IL"/>
        </w:rPr>
        <w:t>Burlutskaya</w:t>
      </w:r>
      <w:bookmarkStart w:id="0" w:name="_GoBack"/>
      <w:bookmarkEnd w:id="0"/>
      <w:proofErr w:type="spellEnd"/>
    </w:p>
    <w:p w14:paraId="706A2C31"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shd w:val="clear" w:color="auto" w:fill="FFFFFF"/>
          <w:lang w:bidi="he-IL"/>
        </w:rPr>
        <w:t xml:space="preserve">Harry </w:t>
      </w:r>
      <w:proofErr w:type="spellStart"/>
      <w:r w:rsidRPr="004B3A62">
        <w:rPr>
          <w:rFonts w:ascii="Tahoma" w:eastAsia="Times New Roman" w:hAnsi="Tahoma" w:cs="Tahoma"/>
          <w:b/>
          <w:bCs/>
          <w:sz w:val="24"/>
          <w:szCs w:val="24"/>
          <w:shd w:val="clear" w:color="auto" w:fill="FFFFFF"/>
          <w:lang w:bidi="he-IL"/>
        </w:rPr>
        <w:t>Kerbs</w:t>
      </w:r>
      <w:proofErr w:type="spellEnd"/>
    </w:p>
    <w:p w14:paraId="342E4372"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b/>
          <w:bCs/>
          <w:sz w:val="24"/>
          <w:szCs w:val="24"/>
          <w:lang w:bidi="he-IL"/>
        </w:rPr>
        <w:t>International Moving Services Ltd.</w:t>
      </w:r>
    </w:p>
    <w:p w14:paraId="6DDE38C3"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shd w:val="clear" w:color="auto" w:fill="FFFFFF"/>
          <w:lang w:bidi="he-IL"/>
        </w:rPr>
        <w:t>+7 (495) 933-4321</w:t>
      </w:r>
    </w:p>
    <w:p w14:paraId="01349491" w14:textId="77777777" w:rsidR="004B3A62" w:rsidRPr="004B3A62" w:rsidRDefault="004B3A62" w:rsidP="004B3A62">
      <w:pPr>
        <w:spacing w:after="0" w:line="240" w:lineRule="auto"/>
        <w:rPr>
          <w:rFonts w:ascii="Arial" w:eastAsia="Times New Roman" w:hAnsi="Arial" w:cs="Arial"/>
          <w:sz w:val="18"/>
          <w:szCs w:val="18"/>
          <w:lang w:bidi="he-IL"/>
        </w:rPr>
      </w:pPr>
      <w:hyperlink r:id="rId5" w:history="1">
        <w:r w:rsidRPr="004B3A62">
          <w:rPr>
            <w:rFonts w:ascii="Tahoma" w:eastAsia="Times New Roman" w:hAnsi="Tahoma" w:cs="Tahoma"/>
            <w:sz w:val="24"/>
            <w:szCs w:val="24"/>
            <w:shd w:val="clear" w:color="auto" w:fill="FFFFFF"/>
            <w:lang w:bidi="he-IL"/>
          </w:rPr>
          <w:t>info@movers.ru</w:t>
        </w:r>
      </w:hyperlink>
      <w:r w:rsidRPr="004B3A62">
        <w:rPr>
          <w:rFonts w:ascii="Tahoma" w:eastAsia="Times New Roman" w:hAnsi="Tahoma" w:cs="Tahoma"/>
          <w:sz w:val="24"/>
          <w:szCs w:val="24"/>
          <w:shd w:val="clear" w:color="auto" w:fill="FFFFFF"/>
          <w:lang w:bidi="he-IL"/>
        </w:rPr>
        <w:t>   www.movers.ru</w:t>
      </w:r>
    </w:p>
    <w:p w14:paraId="59343EBD" w14:textId="77777777" w:rsidR="004B3A62" w:rsidRPr="004B3A62" w:rsidRDefault="004B3A62" w:rsidP="004B3A62">
      <w:pPr>
        <w:spacing w:after="0" w:line="240" w:lineRule="auto"/>
        <w:rPr>
          <w:rFonts w:ascii="Arial" w:eastAsia="Times New Roman" w:hAnsi="Arial" w:cs="Arial"/>
          <w:sz w:val="18"/>
          <w:szCs w:val="18"/>
          <w:lang w:bidi="he-IL"/>
        </w:rPr>
      </w:pPr>
      <w:proofErr w:type="spellStart"/>
      <w:r w:rsidRPr="004B3A62">
        <w:rPr>
          <w:rFonts w:ascii="Tahoma" w:eastAsia="Times New Roman" w:hAnsi="Tahoma" w:cs="Tahoma"/>
          <w:sz w:val="24"/>
          <w:szCs w:val="24"/>
          <w:shd w:val="clear" w:color="auto" w:fill="FFFFFF"/>
          <w:lang w:bidi="he-IL"/>
        </w:rPr>
        <w:t>Prospekt</w:t>
      </w:r>
      <w:proofErr w:type="spellEnd"/>
      <w:r w:rsidRPr="004B3A62">
        <w:rPr>
          <w:rFonts w:ascii="Tahoma" w:eastAsia="Times New Roman" w:hAnsi="Tahoma" w:cs="Tahoma"/>
          <w:sz w:val="24"/>
          <w:szCs w:val="24"/>
          <w:shd w:val="clear" w:color="auto" w:fill="FFFFFF"/>
          <w:lang w:bidi="he-IL"/>
        </w:rPr>
        <w:t> </w:t>
      </w:r>
      <w:proofErr w:type="spellStart"/>
      <w:r w:rsidRPr="004B3A62">
        <w:rPr>
          <w:rFonts w:ascii="Tahoma" w:eastAsia="Times New Roman" w:hAnsi="Tahoma" w:cs="Tahoma"/>
          <w:sz w:val="24"/>
          <w:szCs w:val="24"/>
          <w:shd w:val="clear" w:color="auto" w:fill="FFFFFF"/>
          <w:lang w:bidi="he-IL"/>
        </w:rPr>
        <w:t>Vernadskogo</w:t>
      </w:r>
      <w:proofErr w:type="spellEnd"/>
      <w:r w:rsidRPr="004B3A62">
        <w:rPr>
          <w:rFonts w:ascii="Tahoma" w:eastAsia="Times New Roman" w:hAnsi="Tahoma" w:cs="Tahoma"/>
          <w:sz w:val="24"/>
          <w:szCs w:val="24"/>
          <w:shd w:val="clear" w:color="auto" w:fill="FFFFFF"/>
          <w:lang w:bidi="he-IL"/>
        </w:rPr>
        <w:t>, 103 – 2</w:t>
      </w:r>
    </w:p>
    <w:p w14:paraId="4457BE1D" w14:textId="77777777" w:rsidR="004B3A62" w:rsidRPr="004B3A62" w:rsidRDefault="004B3A62" w:rsidP="004B3A62">
      <w:pPr>
        <w:spacing w:after="0" w:line="240" w:lineRule="auto"/>
        <w:rPr>
          <w:rFonts w:ascii="Arial" w:eastAsia="Times New Roman" w:hAnsi="Arial" w:cs="Arial"/>
          <w:sz w:val="18"/>
          <w:szCs w:val="18"/>
          <w:lang w:bidi="he-IL"/>
        </w:rPr>
      </w:pPr>
      <w:r w:rsidRPr="004B3A62">
        <w:rPr>
          <w:rFonts w:ascii="Tahoma" w:eastAsia="Times New Roman" w:hAnsi="Tahoma" w:cs="Tahoma"/>
          <w:sz w:val="24"/>
          <w:szCs w:val="24"/>
          <w:shd w:val="clear" w:color="auto" w:fill="FFFFFF"/>
          <w:lang w:bidi="he-IL"/>
        </w:rPr>
        <w:t>119526 Moscow, Russia</w:t>
      </w:r>
    </w:p>
    <w:p w14:paraId="75254196" w14:textId="77777777" w:rsidR="004B3A62" w:rsidRPr="004B3A62" w:rsidRDefault="004B3A62" w:rsidP="004B3A62">
      <w:pPr>
        <w:spacing w:after="0" w:line="240" w:lineRule="auto"/>
        <w:rPr>
          <w:rFonts w:ascii="Arial" w:eastAsia="Times New Roman" w:hAnsi="Arial" w:cs="Arial"/>
          <w:sz w:val="18"/>
          <w:szCs w:val="18"/>
          <w:lang w:bidi="he-IL"/>
        </w:rPr>
      </w:pPr>
    </w:p>
    <w:p w14:paraId="31521CA4" w14:textId="77777777" w:rsidR="00FF427B" w:rsidRPr="004B3A62" w:rsidRDefault="00FF427B"/>
    <w:sectPr w:rsidR="00FF427B" w:rsidRPr="004B3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62"/>
    <w:rsid w:val="004B3A62"/>
    <w:rsid w:val="00FF4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BA5B"/>
  <w15:chartTrackingRefBased/>
  <w15:docId w15:val="{068FD947-3464-4FE7-ADBA-14B8535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74254">
      <w:bodyDiv w:val="1"/>
      <w:marLeft w:val="0"/>
      <w:marRight w:val="0"/>
      <w:marTop w:val="0"/>
      <w:marBottom w:val="0"/>
      <w:divBdr>
        <w:top w:val="none" w:sz="0" w:space="0" w:color="auto"/>
        <w:left w:val="none" w:sz="0" w:space="0" w:color="auto"/>
        <w:bottom w:val="none" w:sz="0" w:space="0" w:color="auto"/>
        <w:right w:val="none" w:sz="0" w:space="0" w:color="auto"/>
      </w:divBdr>
      <w:divsChild>
        <w:div w:id="986783230">
          <w:marLeft w:val="0"/>
          <w:marRight w:val="0"/>
          <w:marTop w:val="0"/>
          <w:marBottom w:val="0"/>
          <w:divBdr>
            <w:top w:val="none" w:sz="0" w:space="0" w:color="auto"/>
            <w:left w:val="none" w:sz="0" w:space="0" w:color="auto"/>
            <w:bottom w:val="none" w:sz="0" w:space="0" w:color="auto"/>
            <w:right w:val="none" w:sz="0" w:space="0" w:color="auto"/>
          </w:divBdr>
          <w:divsChild>
            <w:div w:id="730226192">
              <w:marLeft w:val="0"/>
              <w:marRight w:val="0"/>
              <w:marTop w:val="0"/>
              <w:marBottom w:val="0"/>
              <w:divBdr>
                <w:top w:val="none" w:sz="0" w:space="0" w:color="auto"/>
                <w:left w:val="none" w:sz="0" w:space="0" w:color="auto"/>
                <w:bottom w:val="none" w:sz="0" w:space="0" w:color="auto"/>
                <w:right w:val="none" w:sz="0" w:space="0" w:color="auto"/>
              </w:divBdr>
              <w:divsChild>
                <w:div w:id="653798461">
                  <w:marLeft w:val="150"/>
                  <w:marRight w:val="0"/>
                  <w:marTop w:val="0"/>
                  <w:marBottom w:val="0"/>
                  <w:divBdr>
                    <w:top w:val="none" w:sz="0" w:space="0" w:color="auto"/>
                    <w:left w:val="none" w:sz="0" w:space="0" w:color="auto"/>
                    <w:bottom w:val="none" w:sz="0" w:space="0" w:color="auto"/>
                    <w:right w:val="none" w:sz="0" w:space="0" w:color="auto"/>
                  </w:divBdr>
                  <w:divsChild>
                    <w:div w:id="1618873566">
                      <w:marLeft w:val="0"/>
                      <w:marRight w:val="0"/>
                      <w:marTop w:val="0"/>
                      <w:marBottom w:val="0"/>
                      <w:divBdr>
                        <w:top w:val="none" w:sz="0" w:space="0" w:color="auto"/>
                        <w:left w:val="none" w:sz="0" w:space="0" w:color="auto"/>
                        <w:bottom w:val="none" w:sz="0" w:space="0" w:color="auto"/>
                        <w:right w:val="none" w:sz="0" w:space="0" w:color="auto"/>
                      </w:divBdr>
                      <w:divsChild>
                        <w:div w:id="18800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overs.ru" TargetMode="External"/><Relationship Id="rId4" Type="http://schemas.openxmlformats.org/officeDocument/2006/relationships/hyperlink" Target="https://www.mobilityex.com/content/pdf/PC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Krupman</dc:creator>
  <cp:keywords/>
  <dc:description/>
  <cp:lastModifiedBy>Errol Krupman</cp:lastModifiedBy>
  <cp:revision>1</cp:revision>
  <dcterms:created xsi:type="dcterms:W3CDTF">2020-11-05T15:38:00Z</dcterms:created>
  <dcterms:modified xsi:type="dcterms:W3CDTF">2020-11-05T15:40:00Z</dcterms:modified>
</cp:coreProperties>
</file>