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E3A98" w14:textId="06CAF6B2" w:rsidR="00B061A0" w:rsidRPr="00B061A0" w:rsidRDefault="00B061A0" w:rsidP="00F51983">
      <w:pPr>
        <w:spacing w:after="0" w:line="200" w:lineRule="atLeast"/>
        <w:rPr>
          <w:rFonts w:ascii="Arial" w:eastAsia="Times New Roman" w:hAnsi="Arial" w:cs="Arial"/>
          <w:color w:val="000000"/>
          <w:sz w:val="18"/>
          <w:szCs w:val="18"/>
        </w:rPr>
      </w:pPr>
      <w:r w:rsidRPr="00B061A0">
        <w:rPr>
          <w:rFonts w:ascii="Calibri" w:eastAsia="Times New Roman" w:hAnsi="Calibri" w:cs="Calibri"/>
          <w:color w:val="000000"/>
          <w:sz w:val="20"/>
          <w:szCs w:val="20"/>
        </w:rPr>
        <w:t>       </w:t>
      </w:r>
    </w:p>
    <w:p w14:paraId="7F2A9CBA" w14:textId="77777777" w:rsidR="00B061A0" w:rsidRPr="00B061A0" w:rsidRDefault="00B061A0" w:rsidP="00F51983">
      <w:pPr>
        <w:spacing w:after="160" w:line="240" w:lineRule="auto"/>
        <w:rPr>
          <w:rFonts w:ascii="Arial" w:eastAsia="Times New Roman" w:hAnsi="Arial" w:cs="Arial"/>
          <w:color w:val="000000"/>
          <w:sz w:val="18"/>
          <w:szCs w:val="18"/>
        </w:rPr>
      </w:pPr>
      <w:r w:rsidRPr="00B061A0">
        <w:rPr>
          <w:rFonts w:ascii="Calibri" w:eastAsia="Times New Roman" w:hAnsi="Calibri" w:cs="Calibri"/>
          <w:b/>
          <w:bCs/>
          <w:color w:val="000000"/>
        </w:rPr>
        <w:t>The Rates include:                                                                </w:t>
      </w:r>
    </w:p>
    <w:p w14:paraId="20CB7EAA"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1.</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Import Customs Clearance &amp; Documentation        </w:t>
      </w:r>
    </w:p>
    <w:p w14:paraId="39C6F33C"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2.</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Registration of personally owned vehicles                                                  </w:t>
      </w:r>
    </w:p>
    <w:p w14:paraId="206E1679"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3.</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Port &amp; Shipping line charges (Rates inclusive of THC $ 99/20FT and $ 148/40FT)                            </w:t>
      </w:r>
    </w:p>
    <w:p w14:paraId="3A60D2FC"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4.</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Delivery of Personal Effects from port to Residence</w:t>
      </w:r>
    </w:p>
    <w:p w14:paraId="2F8ADBC6"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5.</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Delivery of personally owned vehicles on a car carrier                                            </w:t>
      </w:r>
    </w:p>
    <w:p w14:paraId="7D1E06AE"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6.</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Offloading, Unpacking, &amp; Staging                                                                    </w:t>
      </w:r>
    </w:p>
    <w:p w14:paraId="03F3338E"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7.</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Removal of Debris</w:t>
      </w:r>
    </w:p>
    <w:p w14:paraId="240D8942" w14:textId="77777777" w:rsidR="00B061A0" w:rsidRPr="00B061A0" w:rsidRDefault="00B061A0" w:rsidP="00F51983">
      <w:pPr>
        <w:spacing w:after="160" w:line="240" w:lineRule="auto"/>
        <w:ind w:left="870"/>
        <w:rPr>
          <w:rFonts w:ascii="Arial" w:eastAsia="Times New Roman" w:hAnsi="Arial" w:cs="Arial"/>
          <w:color w:val="000000"/>
          <w:sz w:val="18"/>
          <w:szCs w:val="18"/>
        </w:rPr>
      </w:pPr>
      <w:r w:rsidRPr="00B061A0">
        <w:rPr>
          <w:rFonts w:ascii="Calibri" w:eastAsia="Times New Roman" w:hAnsi="Calibri" w:cs="Calibri"/>
          <w:color w:val="000000"/>
        </w:rPr>
        <w:t>                                                                </w:t>
      </w:r>
    </w:p>
    <w:p w14:paraId="36576512" w14:textId="77777777" w:rsidR="00B061A0" w:rsidRPr="00B061A0" w:rsidRDefault="00B061A0" w:rsidP="00F51983">
      <w:pPr>
        <w:spacing w:after="160" w:line="240" w:lineRule="auto"/>
        <w:rPr>
          <w:rFonts w:ascii="Arial" w:eastAsia="Times New Roman" w:hAnsi="Arial" w:cs="Arial"/>
          <w:color w:val="000000"/>
          <w:sz w:val="18"/>
          <w:szCs w:val="18"/>
        </w:rPr>
      </w:pPr>
      <w:r w:rsidRPr="00B061A0">
        <w:rPr>
          <w:rFonts w:ascii="Calibri" w:eastAsia="Times New Roman" w:hAnsi="Calibri" w:cs="Calibri"/>
          <w:b/>
          <w:bCs/>
          <w:color w:val="000000"/>
        </w:rPr>
        <w:t>The Rates exclude:                                                                  </w:t>
      </w:r>
    </w:p>
    <w:p w14:paraId="51CD30F0"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1.</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Insurance provided upon request</w:t>
      </w:r>
    </w:p>
    <w:p w14:paraId="47DB5961"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2.</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Please note that a mandatory Railway Development Levy (RDL) is applicable to all imports into Kenya at a rate of 2% CIF.        </w:t>
      </w:r>
    </w:p>
    <w:p w14:paraId="4500B12F"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3.</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Rates based on delivery direct from port to the residence, routing via Warehouse will attract $200/20 FT &amp; $300/40 FT</w:t>
      </w:r>
    </w:p>
    <w:p w14:paraId="469A34D6"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4.</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Warehouse handling $ 5/CBM: Warehouse storage $5.5/CBM</w:t>
      </w:r>
    </w:p>
    <w:p w14:paraId="24E9CAA3"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5.</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Weekend &amp; Public Holiday surcharge $100/Day                                                        </w:t>
      </w:r>
    </w:p>
    <w:p w14:paraId="380FA156"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Calibri" w:eastAsia="Times New Roman" w:hAnsi="Calibri" w:cs="Calibri"/>
          <w:color w:val="000000"/>
        </w:rPr>
        <w:t>6.</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Customs Examination, Customs Duties </w:t>
      </w:r>
      <w:proofErr w:type="gramStart"/>
      <w:r w:rsidRPr="00B061A0">
        <w:rPr>
          <w:rFonts w:ascii="Calibri" w:eastAsia="Times New Roman" w:hAnsi="Calibri" w:cs="Calibri"/>
          <w:color w:val="000000"/>
        </w:rPr>
        <w:t>And</w:t>
      </w:r>
      <w:proofErr w:type="gramEnd"/>
      <w:r w:rsidRPr="00B061A0">
        <w:rPr>
          <w:rFonts w:ascii="Calibri" w:eastAsia="Times New Roman" w:hAnsi="Calibri" w:cs="Calibri"/>
          <w:color w:val="000000"/>
        </w:rPr>
        <w:t> Taxes (If Applicable), Detention/Demurrage, Warehouse Handling, Customs Storage, Hoisting, Parking Permits/fees, Handling Of Heavy Items Such As Pianos, Grand Father Clock, Safes, Long Carries And Delivery Above The Second Floor (Without Access To An Elevator), Complicated Assembly Of Furniture, Weekend Overtime Delivery Charges Or Any Services Not Included Above.</w:t>
      </w:r>
    </w:p>
    <w:p w14:paraId="4AAD3D14" w14:textId="77777777" w:rsidR="00B061A0" w:rsidRPr="00B061A0" w:rsidRDefault="00B061A0" w:rsidP="00F51983">
      <w:pPr>
        <w:spacing w:after="160" w:line="240" w:lineRule="auto"/>
        <w:ind w:left="870"/>
        <w:rPr>
          <w:rFonts w:ascii="Arial" w:eastAsia="Times New Roman" w:hAnsi="Arial" w:cs="Arial"/>
          <w:color w:val="000000"/>
        </w:rPr>
      </w:pPr>
      <w:r w:rsidRPr="00B061A0">
        <w:rPr>
          <w:rFonts w:ascii="Calibri" w:eastAsia="Times New Roman" w:hAnsi="Calibri" w:cs="Calibri"/>
          <w:color w:val="000000"/>
        </w:rPr>
        <w:t> </w:t>
      </w:r>
    </w:p>
    <w:p w14:paraId="730D0420" w14:textId="77777777" w:rsidR="00B061A0" w:rsidRPr="00B061A0" w:rsidRDefault="00B061A0" w:rsidP="00F51983">
      <w:pPr>
        <w:spacing w:after="160" w:line="240" w:lineRule="auto"/>
        <w:rPr>
          <w:rFonts w:ascii="Arial" w:eastAsia="Times New Roman" w:hAnsi="Arial" w:cs="Arial"/>
          <w:color w:val="000000"/>
          <w:sz w:val="18"/>
          <w:szCs w:val="18"/>
        </w:rPr>
      </w:pPr>
      <w:r w:rsidRPr="00B061A0">
        <w:rPr>
          <w:rFonts w:ascii="Calibri" w:eastAsia="Times New Roman" w:hAnsi="Calibri" w:cs="Calibri"/>
          <w:b/>
          <w:bCs/>
          <w:color w:val="000000"/>
        </w:rPr>
        <w:t>Disclaimers</w:t>
      </w:r>
    </w:p>
    <w:p w14:paraId="556433FD"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Our quote is based on the provided Volume / Weight; Final Volume / Weight at the time of shipping will apply.</w:t>
      </w:r>
    </w:p>
    <w:p w14:paraId="002B4E33"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Rates are subject to normal and unchanged conditions of transport - Service, Space, and Equipment availability.</w:t>
      </w:r>
    </w:p>
    <w:p w14:paraId="1863B37A"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The price quoted is based on the above-mentioned scope of work - any alteration of the said SOW may change the quoted rate.</w:t>
      </w:r>
    </w:p>
    <w:p w14:paraId="43E90499" w14:textId="77777777"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Given transit time is tentative, and may be subject to change according to external factors out of control of MEBS Global Reach.</w:t>
      </w:r>
    </w:p>
    <w:p w14:paraId="5D62290B" w14:textId="1C1AE12B" w:rsidR="00B061A0" w:rsidRPr="00B061A0" w:rsidRDefault="00B061A0" w:rsidP="00F51983">
      <w:pPr>
        <w:spacing w:after="160" w:line="240" w:lineRule="auto"/>
        <w:ind w:left="870" w:hanging="360"/>
        <w:rPr>
          <w:rFonts w:ascii="Arial" w:eastAsia="Times New Roman" w:hAnsi="Arial" w:cs="Arial"/>
          <w:color w:val="000000"/>
          <w:sz w:val="18"/>
          <w:szCs w:val="18"/>
        </w:rPr>
      </w:pPr>
      <w:r w:rsidRPr="00B061A0">
        <w:rPr>
          <w:rFonts w:ascii="Wingdings" w:eastAsia="Times New Roman" w:hAnsi="Wingdings" w:cs="Arial"/>
          <w:color w:val="000000"/>
        </w:rPr>
        <w:t>Ø</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MEBS Global Reach liability is limited, therefore we recommend customers to take Goods in transit insurance cover.                                                           </w:t>
      </w:r>
    </w:p>
    <w:p w14:paraId="19CD77A5" w14:textId="77777777" w:rsidR="00B061A0" w:rsidRPr="00B061A0" w:rsidRDefault="00B061A0" w:rsidP="00F51983">
      <w:pPr>
        <w:spacing w:after="160" w:line="240" w:lineRule="auto"/>
        <w:rPr>
          <w:rFonts w:ascii="Arial" w:eastAsia="Times New Roman" w:hAnsi="Arial" w:cs="Arial"/>
          <w:color w:val="000000"/>
        </w:rPr>
      </w:pPr>
      <w:r w:rsidRPr="00B061A0">
        <w:rPr>
          <w:rFonts w:ascii="Calibri" w:eastAsia="Times New Roman" w:hAnsi="Calibri" w:cs="Calibri"/>
          <w:color w:val="000000"/>
        </w:rPr>
        <w:t> </w:t>
      </w:r>
    </w:p>
    <w:p w14:paraId="7A73B6F3" w14:textId="77777777" w:rsidR="00B061A0" w:rsidRPr="00B061A0" w:rsidRDefault="00B061A0" w:rsidP="00F51983">
      <w:pPr>
        <w:spacing w:after="160" w:line="240" w:lineRule="auto"/>
        <w:rPr>
          <w:rFonts w:ascii="Arial" w:eastAsia="Times New Roman" w:hAnsi="Arial" w:cs="Arial"/>
          <w:color w:val="000000"/>
        </w:rPr>
      </w:pPr>
      <w:r w:rsidRPr="00B061A0">
        <w:rPr>
          <w:rFonts w:ascii="Calibri" w:eastAsia="Times New Roman" w:hAnsi="Calibri" w:cs="Calibri"/>
          <w:b/>
          <w:bCs/>
          <w:color w:val="000000"/>
        </w:rPr>
        <w:t>RELOCATION ACCESSORIAL RATES – ORIGIN/DESTINATION</w:t>
      </w:r>
    </w:p>
    <w:p w14:paraId="443E8974"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color w:val="000000"/>
        </w:rPr>
        <w:t>(Nairobi City Limits)</w:t>
      </w:r>
      <w:r w:rsidRPr="00B061A0">
        <w:rPr>
          <w:rFonts w:ascii="Calibri" w:eastAsia="Times New Roman" w:hAnsi="Calibri" w:cs="Calibri"/>
          <w:i/>
          <w:iCs/>
          <w:color w:val="000000"/>
        </w:rPr>
        <w:t>                                                                                   </w:t>
      </w:r>
      <w:r w:rsidRPr="00B061A0">
        <w:rPr>
          <w:rFonts w:ascii="Calibri" w:eastAsia="Times New Roman" w:hAnsi="Calibri" w:cs="Calibri"/>
          <w:b/>
          <w:bCs/>
          <w:i/>
          <w:iCs/>
          <w:color w:val="000000"/>
        </w:rPr>
        <w:t> </w:t>
      </w:r>
    </w:p>
    <w:p w14:paraId="2E2C06AD"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color w:val="000000"/>
        </w:rPr>
        <w:t>        </w:t>
      </w:r>
    </w:p>
    <w:p w14:paraId="6A08E506"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Crating and Fumigation: $130.00 / CBM, Minimum $130.00 per crate</w:t>
      </w:r>
    </w:p>
    <w:p w14:paraId="724710A3"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Carton Pre-drop (Lumpsum): $40.00</w:t>
      </w:r>
    </w:p>
    <w:p w14:paraId="2B5627EA"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Long Carry: $6.50 / CBM or $ 50.00 minimum (the </w:t>
      </w:r>
      <w:r w:rsidRPr="00B061A0">
        <w:rPr>
          <w:rFonts w:ascii="Calibri" w:eastAsia="Times New Roman" w:hAnsi="Calibri" w:cs="Calibri"/>
          <w:i/>
          <w:iCs/>
          <w:color w:val="000000"/>
        </w:rPr>
        <w:t>distance between the truck/container and the entrance of the residence is more than 30 M).</w:t>
      </w:r>
    </w:p>
    <w:p w14:paraId="234608A9"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Packing/Delivery above 2nd Floor with no access to an elevator / Difficult Access: $ 5.00 / CBM or $50.00 minimum</w:t>
      </w:r>
    </w:p>
    <w:p w14:paraId="50C70E44"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Additional Delivery &amp; Shuttle services: $200.00 up to 30 CBM &amp; $ $300.00 up to 60 CBM (either different place or day)</w:t>
      </w:r>
    </w:p>
    <w:p w14:paraId="7F7B1C7E"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Grand Piano Handling: $300.00 (Subject to availability of a specialist)</w:t>
      </w:r>
    </w:p>
    <w:p w14:paraId="31010D27"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Grand Father Clock Handling: $250.00 (Subject to availability of a specialist)</w:t>
      </w:r>
    </w:p>
    <w:p w14:paraId="106262EB"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Complicated Furniture Assembly: $100.00 (at the team leader’s discretion)</w:t>
      </w:r>
    </w:p>
    <w:p w14:paraId="29798B5E"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Holiday / Weekend delivery / pack out: $100.00 per day</w:t>
      </w:r>
    </w:p>
    <w:p w14:paraId="36E45F41"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Overtime: $15.00 per person maximum 3 Hours</w:t>
      </w:r>
    </w:p>
    <w:p w14:paraId="72270CBD"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Swing set Assembly / Disassembly (IKEA): $50.00 per piece</w:t>
      </w:r>
    </w:p>
    <w:p w14:paraId="5F209D7A"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Handy man / Carpenter: $ 50.00 per day</w:t>
      </w:r>
    </w:p>
    <w:p w14:paraId="0146440A"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Warehouse Handling In/Out: $ 5.00 / CBM, Minimum $ 50.00 per shipment</w:t>
      </w:r>
    </w:p>
    <w:p w14:paraId="7FACEAA0" w14:textId="77777777" w:rsidR="00B061A0" w:rsidRPr="00B061A0" w:rsidRDefault="00B061A0" w:rsidP="00F51983">
      <w:pPr>
        <w:spacing w:after="150" w:line="240" w:lineRule="auto"/>
        <w:ind w:left="870" w:hanging="360"/>
        <w:rPr>
          <w:rFonts w:ascii="Arial" w:eastAsia="Times New Roman" w:hAnsi="Arial" w:cs="Arial"/>
          <w:color w:val="000000"/>
          <w:sz w:val="18"/>
          <w:szCs w:val="18"/>
        </w:rPr>
      </w:pPr>
      <w:r w:rsidRPr="00B061A0">
        <w:rPr>
          <w:rFonts w:ascii="Symbol" w:eastAsia="Times New Roman" w:hAnsi="Symbol" w:cs="Arial"/>
          <w:b/>
          <w:bCs/>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Storage Charges Per Month: $5.50 / CBM or Ton / Month, Minimum $ 60.00</w:t>
      </w:r>
    </w:p>
    <w:p w14:paraId="27B208C5" w14:textId="77777777" w:rsidR="00B061A0" w:rsidRPr="00B061A0" w:rsidRDefault="00B061A0" w:rsidP="00F51983">
      <w:pPr>
        <w:spacing w:after="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Special parking fees: billed at costs</w:t>
      </w:r>
    </w:p>
    <w:p w14:paraId="74072A55" w14:textId="77777777" w:rsidR="00B061A0" w:rsidRPr="00B061A0" w:rsidRDefault="00B061A0" w:rsidP="00F51983">
      <w:pPr>
        <w:spacing w:after="0" w:line="240" w:lineRule="auto"/>
        <w:ind w:left="870"/>
        <w:rPr>
          <w:rFonts w:ascii="Arial" w:eastAsia="Times New Roman" w:hAnsi="Arial" w:cs="Arial"/>
          <w:color w:val="000000"/>
        </w:rPr>
      </w:pPr>
      <w:r w:rsidRPr="00B061A0">
        <w:rPr>
          <w:rFonts w:ascii="Calibri" w:eastAsia="Times New Roman" w:hAnsi="Calibri" w:cs="Calibri"/>
          <w:color w:val="000000"/>
        </w:rPr>
        <w:t> </w:t>
      </w:r>
    </w:p>
    <w:p w14:paraId="51EFE4A1" w14:textId="77777777" w:rsidR="00B061A0" w:rsidRPr="00B061A0" w:rsidRDefault="00B061A0" w:rsidP="00F51983">
      <w:pPr>
        <w:spacing w:after="0" w:line="240" w:lineRule="auto"/>
        <w:ind w:left="870" w:hanging="360"/>
        <w:rPr>
          <w:rFonts w:ascii="Arial" w:eastAsia="Times New Roman" w:hAnsi="Arial" w:cs="Arial"/>
          <w:color w:val="000000"/>
          <w:sz w:val="18"/>
          <w:szCs w:val="18"/>
        </w:rPr>
      </w:pPr>
      <w:r w:rsidRPr="00B061A0">
        <w:rPr>
          <w:rFonts w:ascii="Symbol" w:eastAsia="Times New Roman" w:hAnsi="Symbol" w:cs="Arial"/>
          <w:color w:val="000000"/>
        </w:rPr>
        <w:t>·</w:t>
      </w:r>
      <w:r w:rsidRPr="00B061A0">
        <w:rPr>
          <w:rFonts w:ascii="Times New Roman" w:eastAsia="Times New Roman" w:hAnsi="Times New Roman" w:cs="Times New Roman"/>
          <w:color w:val="000000"/>
          <w:sz w:val="10"/>
          <w:szCs w:val="10"/>
        </w:rPr>
        <w:t>       </w:t>
      </w:r>
      <w:r w:rsidRPr="00B061A0">
        <w:rPr>
          <w:rFonts w:ascii="Calibri" w:eastAsia="Times New Roman" w:hAnsi="Calibri" w:cs="Calibri"/>
          <w:color w:val="000000"/>
        </w:rPr>
        <w:t>Uncrating charge: $ 5.00 per crate (at supervisor’s discretion)</w:t>
      </w:r>
    </w:p>
    <w:p w14:paraId="7B22E819" w14:textId="77777777" w:rsidR="00B061A0" w:rsidRPr="00B061A0" w:rsidRDefault="00B061A0" w:rsidP="00F51983">
      <w:pPr>
        <w:spacing w:after="0" w:line="240" w:lineRule="auto"/>
        <w:rPr>
          <w:rFonts w:ascii="Arial" w:eastAsia="Times New Roman" w:hAnsi="Arial" w:cs="Arial"/>
          <w:color w:val="000000"/>
        </w:rPr>
      </w:pPr>
      <w:r w:rsidRPr="00B061A0">
        <w:rPr>
          <w:rFonts w:ascii="Calibri" w:eastAsia="Times New Roman" w:hAnsi="Calibri" w:cs="Calibri"/>
          <w:color w:val="000000"/>
        </w:rPr>
        <w:t> </w:t>
      </w:r>
    </w:p>
    <w:p w14:paraId="052F11B4"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sz w:val="20"/>
          <w:szCs w:val="20"/>
        </w:rPr>
        <w:t>All rates are exclusive of VAT (14%). Will be applied at the time of invoicing wherever applicable.</w:t>
      </w:r>
    </w:p>
    <w:p w14:paraId="79C6DB5D"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sz w:val="20"/>
          <w:szCs w:val="20"/>
        </w:rPr>
        <w:t>Rates apply to Nairobi city limits; separate quotes are to be provided for any other cities in Kenya.</w:t>
      </w:r>
    </w:p>
    <w:p w14:paraId="5CDA68BB"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sz w:val="20"/>
          <w:szCs w:val="20"/>
        </w:rPr>
        <w:t>Rates will be applied for all additional services not previously quoted and agreed upon with the customer.</w:t>
      </w:r>
    </w:p>
    <w:p w14:paraId="41F0C824"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sz w:val="20"/>
          <w:szCs w:val="20"/>
        </w:rPr>
        <w:t>Weekend delivery includes both Saturday and Sunday</w:t>
      </w:r>
    </w:p>
    <w:p w14:paraId="4D3AF0BB" w14:textId="77777777" w:rsidR="00B061A0" w:rsidRPr="00B061A0" w:rsidRDefault="00B061A0" w:rsidP="00F51983">
      <w:pPr>
        <w:spacing w:after="0" w:line="240" w:lineRule="auto"/>
        <w:rPr>
          <w:rFonts w:ascii="Arial" w:eastAsia="Times New Roman" w:hAnsi="Arial" w:cs="Arial"/>
          <w:color w:val="000000"/>
        </w:rPr>
      </w:pPr>
      <w:r w:rsidRPr="00B061A0">
        <w:rPr>
          <w:rFonts w:ascii="Calibri" w:eastAsia="Times New Roman" w:hAnsi="Calibri" w:cs="Calibri"/>
          <w:b/>
          <w:bCs/>
          <w:i/>
          <w:iCs/>
          <w:color w:val="000000"/>
        </w:rPr>
        <w:t> </w:t>
      </w:r>
    </w:p>
    <w:p w14:paraId="69322619"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rPr>
        <w:t>Kind regards,</w:t>
      </w:r>
    </w:p>
    <w:p w14:paraId="43EC8A10"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b/>
          <w:bCs/>
          <w:i/>
          <w:iCs/>
          <w:color w:val="000000"/>
        </w:rPr>
        <w:br/>
      </w:r>
    </w:p>
    <w:p w14:paraId="647960C0"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i/>
          <w:iCs/>
          <w:color w:val="000000"/>
        </w:rPr>
        <w:t xml:space="preserve">Maureen </w:t>
      </w:r>
      <w:proofErr w:type="spellStart"/>
      <w:r w:rsidRPr="00B061A0">
        <w:rPr>
          <w:rFonts w:ascii="Calibri" w:eastAsia="Times New Roman" w:hAnsi="Calibri" w:cs="Calibri"/>
          <w:i/>
          <w:iCs/>
          <w:color w:val="000000"/>
        </w:rPr>
        <w:t>Olweny</w:t>
      </w:r>
      <w:proofErr w:type="spellEnd"/>
      <w:r w:rsidRPr="00B061A0">
        <w:rPr>
          <w:rFonts w:ascii="Calibri" w:eastAsia="Times New Roman" w:hAnsi="Calibri" w:cs="Calibri"/>
          <w:i/>
          <w:iCs/>
          <w:color w:val="000000"/>
        </w:rPr>
        <w:t xml:space="preserve"> / Regional Manager, Rates &amp; Routing</w:t>
      </w:r>
    </w:p>
    <w:p w14:paraId="1F8196E5"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i/>
          <w:iCs/>
          <w:color w:val="000000"/>
        </w:rPr>
        <w:t>MEBS Global Reach Ltd</w:t>
      </w:r>
    </w:p>
    <w:p w14:paraId="49868D4F"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i/>
          <w:iCs/>
          <w:color w:val="000000"/>
        </w:rPr>
        <w:t xml:space="preserve">Unit 14, </w:t>
      </w:r>
      <w:proofErr w:type="spellStart"/>
      <w:r w:rsidRPr="00B061A0">
        <w:rPr>
          <w:rFonts w:ascii="Calibri" w:eastAsia="Times New Roman" w:hAnsi="Calibri" w:cs="Calibri"/>
          <w:i/>
          <w:iCs/>
          <w:color w:val="000000"/>
        </w:rPr>
        <w:t>Saku</w:t>
      </w:r>
      <w:proofErr w:type="spellEnd"/>
      <w:r w:rsidRPr="00B061A0">
        <w:rPr>
          <w:rFonts w:ascii="Calibri" w:eastAsia="Times New Roman" w:hAnsi="Calibri" w:cs="Calibri"/>
          <w:i/>
          <w:iCs/>
          <w:color w:val="000000"/>
        </w:rPr>
        <w:t xml:space="preserve"> Business Park, North Airport Road</w:t>
      </w:r>
    </w:p>
    <w:p w14:paraId="49E7D96E" w14:textId="77777777" w:rsidR="00B061A0" w:rsidRPr="00B061A0" w:rsidRDefault="00B061A0" w:rsidP="00F51983">
      <w:pPr>
        <w:spacing w:after="0" w:line="240" w:lineRule="auto"/>
        <w:rPr>
          <w:rFonts w:ascii="Arial" w:eastAsia="Times New Roman" w:hAnsi="Arial" w:cs="Arial"/>
          <w:color w:val="000000"/>
          <w:sz w:val="18"/>
          <w:szCs w:val="18"/>
        </w:rPr>
      </w:pPr>
      <w:r w:rsidRPr="00B061A0">
        <w:rPr>
          <w:rFonts w:ascii="Calibri" w:eastAsia="Times New Roman" w:hAnsi="Calibri" w:cs="Calibri"/>
          <w:i/>
          <w:iCs/>
          <w:color w:val="000000"/>
        </w:rPr>
        <w:t>P.O. Box 13768-00800, Nairobi, Kenya</w:t>
      </w:r>
    </w:p>
    <w:p w14:paraId="5E8D209C" w14:textId="77777777" w:rsidR="00B061A0" w:rsidRPr="00B061A0" w:rsidRDefault="00B061A0" w:rsidP="00F51983">
      <w:pPr>
        <w:spacing w:after="60" w:line="240" w:lineRule="auto"/>
        <w:rPr>
          <w:rFonts w:ascii="Arial" w:eastAsia="Times New Roman" w:hAnsi="Arial" w:cs="Arial"/>
          <w:color w:val="000000"/>
          <w:sz w:val="18"/>
          <w:szCs w:val="18"/>
        </w:rPr>
      </w:pPr>
      <w:r w:rsidRPr="00B061A0">
        <w:rPr>
          <w:rFonts w:ascii="Calibri" w:eastAsia="Times New Roman" w:hAnsi="Calibri" w:cs="Calibri"/>
          <w:i/>
          <w:iCs/>
          <w:color w:val="000000"/>
          <w:u w:val="single"/>
        </w:rPr>
        <w:t>Office:</w:t>
      </w:r>
      <w:r w:rsidRPr="00B061A0">
        <w:rPr>
          <w:rFonts w:ascii="Calibri" w:eastAsia="Times New Roman" w:hAnsi="Calibri" w:cs="Calibri"/>
          <w:i/>
          <w:iCs/>
          <w:color w:val="000000"/>
        </w:rPr>
        <w:t> +254-203-748-847 / </w:t>
      </w:r>
      <w:r w:rsidRPr="00B061A0">
        <w:rPr>
          <w:rFonts w:ascii="Calibri" w:eastAsia="Times New Roman" w:hAnsi="Calibri" w:cs="Calibri"/>
          <w:i/>
          <w:iCs/>
          <w:color w:val="000000"/>
          <w:u w:val="single"/>
        </w:rPr>
        <w:t>Cell</w:t>
      </w:r>
      <w:r w:rsidRPr="00B061A0">
        <w:rPr>
          <w:rFonts w:ascii="Calibri" w:eastAsia="Times New Roman" w:hAnsi="Calibri" w:cs="Calibri"/>
          <w:i/>
          <w:iCs/>
          <w:color w:val="000000"/>
        </w:rPr>
        <w:t>: +254-722-402-734</w:t>
      </w:r>
    </w:p>
    <w:p w14:paraId="6728DDBB" w14:textId="77777777" w:rsidR="00B061A0" w:rsidRPr="00B061A0" w:rsidRDefault="00B061A0" w:rsidP="00F51983">
      <w:pPr>
        <w:spacing w:after="60" w:line="240" w:lineRule="auto"/>
        <w:rPr>
          <w:rFonts w:ascii="Arial" w:eastAsia="Times New Roman" w:hAnsi="Arial" w:cs="Arial"/>
          <w:color w:val="000000"/>
          <w:sz w:val="18"/>
          <w:szCs w:val="18"/>
        </w:rPr>
      </w:pPr>
      <w:r w:rsidRPr="00B061A0">
        <w:rPr>
          <w:rFonts w:ascii="Calibri" w:eastAsia="Times New Roman" w:hAnsi="Calibri" w:cs="Calibri"/>
          <w:i/>
          <w:iCs/>
          <w:color w:val="000000"/>
          <w:u w:val="single"/>
        </w:rPr>
        <w:t>Email:</w:t>
      </w:r>
      <w:r w:rsidRPr="00B061A0">
        <w:rPr>
          <w:rFonts w:ascii="Calibri" w:eastAsia="Times New Roman" w:hAnsi="Calibri" w:cs="Calibri"/>
          <w:i/>
          <w:iCs/>
          <w:color w:val="000000"/>
        </w:rPr>
        <w:t>  </w:t>
      </w:r>
      <w:hyperlink r:id="rId4" w:history="1">
        <w:r w:rsidRPr="00B061A0">
          <w:rPr>
            <w:rFonts w:ascii="Calibri" w:eastAsia="Times New Roman" w:hAnsi="Calibri" w:cs="Calibri"/>
            <w:i/>
            <w:iCs/>
            <w:color w:val="000000"/>
          </w:rPr>
          <w:t>quoting-ke@mebs-global.com</w:t>
        </w:r>
      </w:hyperlink>
      <w:r w:rsidRPr="00B061A0">
        <w:rPr>
          <w:rFonts w:ascii="Calibri" w:eastAsia="Times New Roman" w:hAnsi="Calibri" w:cs="Calibri"/>
          <w:i/>
          <w:iCs/>
          <w:color w:val="000000"/>
        </w:rPr>
        <w:t> /  </w:t>
      </w:r>
      <w:hyperlink r:id="rId5" w:history="1">
        <w:r w:rsidRPr="00B061A0">
          <w:rPr>
            <w:rFonts w:ascii="Calibri" w:eastAsia="Times New Roman" w:hAnsi="Calibri" w:cs="Calibri"/>
            <w:i/>
            <w:iCs/>
            <w:color w:val="000000"/>
          </w:rPr>
          <w:t>www.mebs-global.com</w:t>
        </w:r>
      </w:hyperlink>
    </w:p>
    <w:p w14:paraId="1ACB9E08" w14:textId="46CC2EE4" w:rsidR="00B061A0" w:rsidRPr="00B061A0" w:rsidRDefault="00B061A0" w:rsidP="00F51983">
      <w:pPr>
        <w:spacing w:after="0" w:line="240" w:lineRule="auto"/>
        <w:rPr>
          <w:rFonts w:ascii="Arial" w:eastAsia="Times New Roman" w:hAnsi="Arial" w:cs="Arial"/>
          <w:color w:val="000000"/>
        </w:rPr>
      </w:pPr>
      <w:r w:rsidRPr="00B061A0">
        <w:rPr>
          <w:rFonts w:ascii="Arial" w:eastAsia="Times New Roman" w:hAnsi="Arial" w:cs="Arial"/>
          <w:color w:val="000000"/>
        </w:rPr>
        <w:t>  </w:t>
      </w:r>
    </w:p>
    <w:p w14:paraId="3F7D9584" w14:textId="04658C83" w:rsidR="00B061A0" w:rsidRPr="00B061A0" w:rsidRDefault="00B061A0" w:rsidP="00F51983">
      <w:pPr>
        <w:spacing w:after="160" w:line="240" w:lineRule="auto"/>
        <w:rPr>
          <w:rFonts w:ascii="Arial" w:eastAsia="Times New Roman" w:hAnsi="Arial" w:cs="Arial"/>
          <w:color w:val="000000"/>
          <w:sz w:val="18"/>
          <w:szCs w:val="18"/>
        </w:rPr>
      </w:pPr>
      <w:r w:rsidRPr="00B061A0">
        <w:rPr>
          <w:rFonts w:ascii="Calibri" w:eastAsia="Times New Roman" w:hAnsi="Calibri" w:cs="Calibri"/>
          <w:color w:val="000000"/>
        </w:rPr>
        <w:t> </w:t>
      </w:r>
      <w:r w:rsidRPr="00B061A0">
        <w:rPr>
          <w:rFonts w:ascii="Arial" w:eastAsia="Times New Roman" w:hAnsi="Arial" w:cs="Arial"/>
          <w:noProof/>
          <w:color w:val="000000"/>
          <w:sz w:val="18"/>
          <w:szCs w:val="18"/>
        </w:rPr>
        <w:drawing>
          <wp:inline distT="0" distB="0" distL="0" distR="0" wp14:anchorId="018C474A" wp14:editId="459B2715">
            <wp:extent cx="571500" cy="323850"/>
            <wp:effectExtent l="0" t="0" r="0" b="0"/>
            <wp:docPr id="1" name="Picture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p>
    <w:p w14:paraId="4FDDB142" w14:textId="77777777" w:rsidR="00B061A0" w:rsidRPr="00B061A0" w:rsidRDefault="00B061A0" w:rsidP="00F51983">
      <w:pPr>
        <w:spacing w:after="0" w:line="240" w:lineRule="auto"/>
        <w:rPr>
          <w:rFonts w:ascii="Arial" w:eastAsia="Times New Roman" w:hAnsi="Arial" w:cs="Arial"/>
          <w:color w:val="000000"/>
          <w:sz w:val="18"/>
          <w:szCs w:val="18"/>
        </w:rPr>
      </w:pPr>
    </w:p>
    <w:p w14:paraId="4C078DBD" w14:textId="77777777" w:rsidR="00851BED" w:rsidRDefault="00851BED" w:rsidP="00F51983"/>
    <w:sectPr w:rsidR="00851BED" w:rsidSect="0085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0"/>
    <w:rsid w:val="00047433"/>
    <w:rsid w:val="0012157B"/>
    <w:rsid w:val="006E4A8C"/>
    <w:rsid w:val="007071A7"/>
    <w:rsid w:val="0072688E"/>
    <w:rsid w:val="00851BED"/>
    <w:rsid w:val="00954784"/>
    <w:rsid w:val="009C52A6"/>
    <w:rsid w:val="00B061A0"/>
    <w:rsid w:val="00B104E5"/>
    <w:rsid w:val="00B861CF"/>
    <w:rsid w:val="00F51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AC01"/>
  <w15:chartTrackingRefBased/>
  <w15:docId w15:val="{713AB4D1-428B-452F-8015-8BCCE85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paragraph-font">
    <w:name w:val="default-paragraph-font"/>
    <w:basedOn w:val="DefaultParagraphFont"/>
    <w:rsid w:val="00B061A0"/>
  </w:style>
  <w:style w:type="paragraph" w:customStyle="1" w:styleId="body-text">
    <w:name w:val="body-text"/>
    <w:basedOn w:val="Normal"/>
    <w:rsid w:val="00B061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2288">
      <w:bodyDiv w:val="1"/>
      <w:marLeft w:val="0"/>
      <w:marRight w:val="0"/>
      <w:marTop w:val="0"/>
      <w:marBottom w:val="0"/>
      <w:divBdr>
        <w:top w:val="none" w:sz="0" w:space="0" w:color="auto"/>
        <w:left w:val="none" w:sz="0" w:space="0" w:color="auto"/>
        <w:bottom w:val="none" w:sz="0" w:space="0" w:color="auto"/>
        <w:right w:val="none" w:sz="0" w:space="0" w:color="auto"/>
      </w:divBdr>
      <w:divsChild>
        <w:div w:id="381831090">
          <w:marLeft w:val="0"/>
          <w:marRight w:val="0"/>
          <w:marTop w:val="0"/>
          <w:marBottom w:val="0"/>
          <w:divBdr>
            <w:top w:val="none" w:sz="0" w:space="0" w:color="auto"/>
            <w:left w:val="none" w:sz="0" w:space="0" w:color="auto"/>
            <w:bottom w:val="none" w:sz="0" w:space="0" w:color="auto"/>
            <w:right w:val="none" w:sz="0" w:space="0" w:color="auto"/>
          </w:divBdr>
          <w:divsChild>
            <w:div w:id="706030569">
              <w:marLeft w:val="0"/>
              <w:marRight w:val="0"/>
              <w:marTop w:val="0"/>
              <w:marBottom w:val="0"/>
              <w:divBdr>
                <w:top w:val="none" w:sz="0" w:space="0" w:color="auto"/>
                <w:left w:val="none" w:sz="0" w:space="0" w:color="auto"/>
                <w:bottom w:val="none" w:sz="0" w:space="0" w:color="auto"/>
                <w:right w:val="none" w:sz="0" w:space="0" w:color="auto"/>
              </w:divBdr>
              <w:divsChild>
                <w:div w:id="244264861">
                  <w:marLeft w:val="150"/>
                  <w:marRight w:val="0"/>
                  <w:marTop w:val="0"/>
                  <w:marBottom w:val="0"/>
                  <w:divBdr>
                    <w:top w:val="none" w:sz="0" w:space="0" w:color="auto"/>
                    <w:left w:val="none" w:sz="0" w:space="0" w:color="auto"/>
                    <w:bottom w:val="none" w:sz="0" w:space="0" w:color="auto"/>
                    <w:right w:val="none" w:sz="0" w:space="0" w:color="auto"/>
                  </w:divBdr>
                  <w:divsChild>
                    <w:div w:id="1668899674">
                      <w:marLeft w:val="0"/>
                      <w:marRight w:val="0"/>
                      <w:marTop w:val="0"/>
                      <w:marBottom w:val="0"/>
                      <w:divBdr>
                        <w:top w:val="none" w:sz="0" w:space="0" w:color="auto"/>
                        <w:left w:val="none" w:sz="0" w:space="0" w:color="auto"/>
                        <w:bottom w:val="none" w:sz="0" w:space="0" w:color="auto"/>
                        <w:right w:val="none" w:sz="0" w:space="0" w:color="auto"/>
                      </w:divBdr>
                      <w:divsChild>
                        <w:div w:id="8369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mea01.safelinks.protection.outlook.com/?url=http%3A%2F%2Fwww.mebs-global.com%2F&amp;data=02%7C01%7Cserah%40travelshoppe.co.ke%7C99b539c5d2f44186e1a208d5a68c0b2b%7Cea69055931dd42289ce7ad509c2ee29d%7C0%7C0%7C636598042783398566&amp;sdata=H%2F5ycZqFkoZdEBPaAzqdKMsHqkLrwJJHSjpXLVAMTlw%3D&amp;reserved=0" TargetMode="External"/><Relationship Id="rId4" Type="http://schemas.openxmlformats.org/officeDocument/2006/relationships/hyperlink" Target="mailto:quoting-ke@mebs-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 Chrysler</dc:creator>
  <cp:keywords/>
  <dc:description/>
  <cp:lastModifiedBy>Shey Chrysler</cp:lastModifiedBy>
  <cp:revision>4</cp:revision>
  <dcterms:created xsi:type="dcterms:W3CDTF">2020-12-30T15:12:00Z</dcterms:created>
  <dcterms:modified xsi:type="dcterms:W3CDTF">2020-12-30T15:16:00Z</dcterms:modified>
</cp:coreProperties>
</file>