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B16C8" w14:textId="77777777" w:rsidR="006B4268" w:rsidRDefault="006B4268" w:rsidP="006B4268">
      <w:pPr>
        <w:pStyle w:val="xmsonormal"/>
        <w:rPr>
          <w:rFonts w:ascii="Times New Roman" w:hAnsi="Times New Roman" w:cs="Times New Roman"/>
          <w:sz w:val="24"/>
          <w:szCs w:val="24"/>
        </w:rPr>
      </w:pPr>
      <w:r>
        <w:rPr>
          <w:b/>
          <w:bCs/>
          <w:shd w:val="clear" w:color="auto" w:fill="FFFF00"/>
        </w:rPr>
        <w:t>Destination LCL</w:t>
      </w:r>
      <w:r>
        <w:rPr>
          <w:b/>
          <w:bCs/>
        </w:rPr>
        <w:t> </w:t>
      </w:r>
    </w:p>
    <w:p w14:paraId="69E59EAA" w14:textId="77777777" w:rsidR="006B4268" w:rsidRDefault="006B4268" w:rsidP="006B4268">
      <w:pPr>
        <w:pStyle w:val="xmsonormal"/>
        <w:rPr>
          <w:rFonts w:ascii="Times New Roman" w:hAnsi="Times New Roman" w:cs="Times New Roman"/>
          <w:sz w:val="24"/>
          <w:szCs w:val="24"/>
        </w:rPr>
      </w:pPr>
      <w:r>
        <w:t> </w:t>
      </w:r>
    </w:p>
    <w:p w14:paraId="2904DFD0" w14:textId="77777777" w:rsidR="006B4268" w:rsidRDefault="006B4268" w:rsidP="006B4268">
      <w:pPr>
        <w:pStyle w:val="xmsonormal"/>
        <w:rPr>
          <w:rFonts w:ascii="Times New Roman" w:hAnsi="Times New Roman" w:cs="Times New Roman"/>
          <w:sz w:val="24"/>
          <w:szCs w:val="24"/>
        </w:rPr>
      </w:pPr>
      <w:r>
        <w:t>Includes:</w:t>
      </w:r>
    </w:p>
    <w:tbl>
      <w:tblPr>
        <w:tblW w:w="0" w:type="auto"/>
        <w:tblCellMar>
          <w:left w:w="0" w:type="dxa"/>
          <w:right w:w="0" w:type="dxa"/>
        </w:tblCellMar>
        <w:tblLook w:val="04A0" w:firstRow="1" w:lastRow="0" w:firstColumn="1" w:lastColumn="0" w:noHBand="0" w:noVBand="1"/>
      </w:tblPr>
      <w:tblGrid>
        <w:gridCol w:w="9058"/>
      </w:tblGrid>
      <w:tr w:rsidR="006B4268" w14:paraId="0B672B01" w14:textId="77777777" w:rsidTr="006B4268">
        <w:trPr>
          <w:trHeight w:val="241"/>
        </w:trPr>
        <w:tc>
          <w:tcPr>
            <w:tcW w:w="9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0AF24C" w14:textId="77777777" w:rsidR="006B4268" w:rsidRDefault="006B4268">
            <w:pPr>
              <w:pStyle w:val="xmsonormal"/>
              <w:rPr>
                <w:rFonts w:ascii="Times New Roman" w:hAnsi="Times New Roman" w:cs="Times New Roman"/>
                <w:sz w:val="24"/>
                <w:szCs w:val="24"/>
              </w:rPr>
            </w:pPr>
            <w:r>
              <w:t>Port forwarding and bonded transit transportation (in combination truck)</w:t>
            </w:r>
          </w:p>
          <w:p w14:paraId="2DFE2F3E" w14:textId="77777777" w:rsidR="006B4268" w:rsidRDefault="006B4268">
            <w:pPr>
              <w:pStyle w:val="xmsonormal"/>
              <w:rPr>
                <w:rFonts w:ascii="Times New Roman" w:hAnsi="Times New Roman" w:cs="Times New Roman"/>
                <w:sz w:val="24"/>
                <w:szCs w:val="24"/>
              </w:rPr>
            </w:pPr>
            <w:r>
              <w:t>from POE Tallinn, Estonia to customs terminal in Moscow, Russia</w:t>
            </w:r>
          </w:p>
        </w:tc>
      </w:tr>
      <w:tr w:rsidR="006B4268" w14:paraId="09BF6DF0" w14:textId="77777777" w:rsidTr="006B4268">
        <w:trPr>
          <w:trHeight w:val="173"/>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71CD" w14:textId="77777777" w:rsidR="006B4268" w:rsidRDefault="006B4268">
            <w:pPr>
              <w:pStyle w:val="xmsonormal"/>
              <w:rPr>
                <w:rFonts w:ascii="Times New Roman" w:hAnsi="Times New Roman" w:cs="Times New Roman"/>
                <w:sz w:val="24"/>
                <w:szCs w:val="24"/>
              </w:rPr>
            </w:pPr>
            <w:r>
              <w:t>Normal import customs clearance for used HHG´s</w:t>
            </w:r>
          </w:p>
        </w:tc>
      </w:tr>
      <w:tr w:rsidR="006B4268" w14:paraId="03541CBE" w14:textId="77777777" w:rsidTr="006B4268">
        <w:trPr>
          <w:trHeight w:val="173"/>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46F7" w14:textId="77777777" w:rsidR="006B4268" w:rsidRDefault="006B4268">
            <w:pPr>
              <w:pStyle w:val="xmsonormal"/>
              <w:rPr>
                <w:rFonts w:ascii="Times New Roman" w:hAnsi="Times New Roman" w:cs="Times New Roman"/>
                <w:sz w:val="24"/>
                <w:szCs w:val="24"/>
              </w:rPr>
            </w:pPr>
            <w:r>
              <w:t>Pick up from customs terminal</w:t>
            </w:r>
          </w:p>
        </w:tc>
      </w:tr>
      <w:tr w:rsidR="006B4268" w14:paraId="30D426D9" w14:textId="77777777" w:rsidTr="006B4268">
        <w:trPr>
          <w:trHeight w:val="241"/>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F628A" w14:textId="77777777" w:rsidR="006B4268" w:rsidRDefault="006B4268">
            <w:pPr>
              <w:pStyle w:val="xmsonormal"/>
              <w:rPr>
                <w:rFonts w:ascii="Times New Roman" w:hAnsi="Times New Roman" w:cs="Times New Roman"/>
                <w:sz w:val="24"/>
                <w:szCs w:val="24"/>
              </w:rPr>
            </w:pPr>
            <w:r>
              <w:t>Delivery to residence of normal access within city limits</w:t>
            </w:r>
          </w:p>
        </w:tc>
      </w:tr>
      <w:tr w:rsidR="006B4268" w14:paraId="02926992" w14:textId="77777777" w:rsidTr="006B4268">
        <w:trPr>
          <w:trHeight w:val="143"/>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30DBA" w14:textId="77777777" w:rsidR="006B4268" w:rsidRDefault="006B4268">
            <w:pPr>
              <w:pStyle w:val="xmsonormal"/>
              <w:rPr>
                <w:rFonts w:ascii="Times New Roman" w:hAnsi="Times New Roman" w:cs="Times New Roman"/>
                <w:sz w:val="24"/>
                <w:szCs w:val="24"/>
              </w:rPr>
            </w:pPr>
            <w:r>
              <w:t xml:space="preserve">Unpacking of boxes to a counter top or table top surface </w:t>
            </w:r>
          </w:p>
        </w:tc>
      </w:tr>
      <w:tr w:rsidR="006B4268" w14:paraId="0E2A1739" w14:textId="77777777" w:rsidTr="006B4268">
        <w:trPr>
          <w:trHeight w:val="241"/>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8C714" w14:textId="77777777" w:rsidR="006B4268" w:rsidRDefault="006B4268">
            <w:pPr>
              <w:pStyle w:val="xmsonormal"/>
              <w:rPr>
                <w:rFonts w:ascii="Times New Roman" w:hAnsi="Times New Roman" w:cs="Times New Roman"/>
                <w:sz w:val="24"/>
                <w:szCs w:val="24"/>
              </w:rPr>
            </w:pPr>
            <w:r>
              <w:t>Normal placing and re-assembly of furniture</w:t>
            </w:r>
          </w:p>
        </w:tc>
      </w:tr>
      <w:tr w:rsidR="006B4268" w14:paraId="74DB282C" w14:textId="77777777" w:rsidTr="006B4268">
        <w:trPr>
          <w:trHeight w:val="241"/>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99EB9" w14:textId="77777777" w:rsidR="006B4268" w:rsidRDefault="006B4268">
            <w:pPr>
              <w:pStyle w:val="xmsonormal"/>
              <w:rPr>
                <w:rFonts w:ascii="Times New Roman" w:hAnsi="Times New Roman" w:cs="Times New Roman"/>
                <w:sz w:val="24"/>
                <w:szCs w:val="24"/>
              </w:rPr>
            </w:pPr>
            <w:r>
              <w:t>Removal of debris at the time of delivery</w:t>
            </w:r>
          </w:p>
        </w:tc>
      </w:tr>
    </w:tbl>
    <w:p w14:paraId="16A121B0" w14:textId="77777777" w:rsidR="006B4268" w:rsidRDefault="006B4268" w:rsidP="006B4268">
      <w:pPr>
        <w:pStyle w:val="xmsonormal"/>
        <w:rPr>
          <w:rFonts w:ascii="Times New Roman" w:hAnsi="Times New Roman" w:cs="Times New Roman"/>
          <w:sz w:val="24"/>
          <w:szCs w:val="24"/>
        </w:rPr>
      </w:pPr>
      <w:r>
        <w:t> </w:t>
      </w:r>
    </w:p>
    <w:tbl>
      <w:tblPr>
        <w:tblW w:w="9075" w:type="dxa"/>
        <w:tblCellMar>
          <w:left w:w="0" w:type="dxa"/>
          <w:right w:w="0" w:type="dxa"/>
        </w:tblCellMar>
        <w:tblLook w:val="04A0" w:firstRow="1" w:lastRow="0" w:firstColumn="1" w:lastColumn="0" w:noHBand="0" w:noVBand="1"/>
      </w:tblPr>
      <w:tblGrid>
        <w:gridCol w:w="9075"/>
      </w:tblGrid>
      <w:tr w:rsidR="006B4268" w14:paraId="206D683F" w14:textId="77777777" w:rsidTr="006B4268">
        <w:trPr>
          <w:trHeight w:val="205"/>
        </w:trPr>
        <w:tc>
          <w:tcPr>
            <w:tcW w:w="9075" w:type="dxa"/>
            <w:tcBorders>
              <w:top w:val="nil"/>
              <w:left w:val="nil"/>
              <w:bottom w:val="single" w:sz="8" w:space="0" w:color="auto"/>
              <w:right w:val="nil"/>
            </w:tcBorders>
            <w:tcMar>
              <w:top w:w="0" w:type="dxa"/>
              <w:left w:w="108" w:type="dxa"/>
              <w:bottom w:w="0" w:type="dxa"/>
              <w:right w:w="108" w:type="dxa"/>
            </w:tcMar>
            <w:hideMark/>
          </w:tcPr>
          <w:p w14:paraId="3E962099" w14:textId="77777777" w:rsidR="006B4268" w:rsidRDefault="006B4268">
            <w:pPr>
              <w:pStyle w:val="xmsonormal"/>
              <w:rPr>
                <w:rFonts w:ascii="Times New Roman" w:hAnsi="Times New Roman" w:cs="Times New Roman"/>
                <w:sz w:val="24"/>
                <w:szCs w:val="24"/>
              </w:rPr>
            </w:pPr>
            <w:r>
              <w:t>Excludes:</w:t>
            </w:r>
          </w:p>
        </w:tc>
      </w:tr>
      <w:tr w:rsidR="006B4268" w14:paraId="13B00979" w14:textId="77777777" w:rsidTr="006B4268">
        <w:trPr>
          <w:trHeight w:val="237"/>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50A7C" w14:textId="77777777" w:rsidR="006B4268" w:rsidRDefault="006B4268">
            <w:pPr>
              <w:pStyle w:val="xmsonormal"/>
              <w:rPr>
                <w:rFonts w:ascii="Times New Roman" w:hAnsi="Times New Roman" w:cs="Times New Roman"/>
                <w:sz w:val="24"/>
                <w:szCs w:val="24"/>
              </w:rPr>
            </w:pPr>
            <w:r>
              <w:t>Import duties 4 € / kg, taxes and government fees as per client’s status and provided paperwork</w:t>
            </w:r>
          </w:p>
        </w:tc>
      </w:tr>
      <w:tr w:rsidR="006B4268" w14:paraId="2AAB72EE"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812F0" w14:textId="77777777" w:rsidR="006B4268" w:rsidRDefault="006B4268">
            <w:pPr>
              <w:pStyle w:val="xmsonormal"/>
              <w:rPr>
                <w:rFonts w:ascii="Times New Roman" w:hAnsi="Times New Roman" w:cs="Times New Roman"/>
                <w:sz w:val="24"/>
                <w:szCs w:val="24"/>
              </w:rPr>
            </w:pPr>
            <w:r>
              <w:t>DTHC, local port charges, consolidators + NVOCC will be billed back @ cost before delivery</w:t>
            </w:r>
          </w:p>
        </w:tc>
      </w:tr>
      <w:tr w:rsidR="006B4268" w14:paraId="4F8A237E"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4E3F7" w14:textId="77777777" w:rsidR="006B4268" w:rsidRDefault="006B4268">
            <w:pPr>
              <w:pStyle w:val="xmsonormal"/>
              <w:rPr>
                <w:rFonts w:ascii="Times New Roman" w:hAnsi="Times New Roman" w:cs="Times New Roman"/>
                <w:sz w:val="24"/>
                <w:szCs w:val="24"/>
              </w:rPr>
            </w:pPr>
            <w:r>
              <w:t>Charges for overflow volume</w:t>
            </w:r>
          </w:p>
        </w:tc>
      </w:tr>
      <w:tr w:rsidR="006B4268" w14:paraId="36A5CF20"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06B6C" w14:textId="77777777" w:rsidR="006B4268" w:rsidRDefault="006B4268">
            <w:pPr>
              <w:pStyle w:val="xmsonormal"/>
              <w:rPr>
                <w:rFonts w:ascii="Times New Roman" w:hAnsi="Times New Roman" w:cs="Times New Roman"/>
                <w:sz w:val="24"/>
                <w:szCs w:val="24"/>
              </w:rPr>
            </w:pPr>
            <w:r>
              <w:t>Storage and warehouse handling, seaport storage</w:t>
            </w:r>
          </w:p>
        </w:tc>
      </w:tr>
      <w:tr w:rsidR="006B4268" w14:paraId="4E0318AA"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7BDA5" w14:textId="77777777" w:rsidR="006B4268" w:rsidRDefault="006B4268">
            <w:pPr>
              <w:pStyle w:val="xmsonormal"/>
              <w:rPr>
                <w:rFonts w:ascii="Times New Roman" w:hAnsi="Times New Roman" w:cs="Times New Roman"/>
                <w:sz w:val="24"/>
                <w:szCs w:val="24"/>
              </w:rPr>
            </w:pPr>
            <w:r>
              <w:t>Abnormal access, long / stair carry, delivery above 2nd floor without elevator, parking expenses</w:t>
            </w:r>
          </w:p>
        </w:tc>
      </w:tr>
      <w:tr w:rsidR="006B4268" w14:paraId="1AE38E9C"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614A9" w14:textId="77777777" w:rsidR="006B4268" w:rsidRDefault="006B4268">
            <w:pPr>
              <w:pStyle w:val="xmsonormal"/>
              <w:rPr>
                <w:rFonts w:ascii="Times New Roman" w:hAnsi="Times New Roman" w:cs="Times New Roman"/>
                <w:sz w:val="24"/>
                <w:szCs w:val="24"/>
              </w:rPr>
            </w:pPr>
            <w:r>
              <w:t>Assembly of complex pieces of furniture, any items requiring specialized handling / equipment</w:t>
            </w:r>
          </w:p>
        </w:tc>
      </w:tr>
      <w:tr w:rsidR="006B4268" w14:paraId="6097E61F"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2A9C6" w14:textId="77777777" w:rsidR="006B4268" w:rsidRDefault="006B4268">
            <w:pPr>
              <w:pStyle w:val="xmsonormal"/>
              <w:rPr>
                <w:rFonts w:ascii="Times New Roman" w:hAnsi="Times New Roman" w:cs="Times New Roman"/>
                <w:sz w:val="24"/>
                <w:szCs w:val="24"/>
              </w:rPr>
            </w:pPr>
            <w:r>
              <w:t xml:space="preserve">Special services and 3rd party services, handyman </w:t>
            </w:r>
          </w:p>
        </w:tc>
      </w:tr>
      <w:tr w:rsidR="006B4268" w14:paraId="225CAD55"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42142" w14:textId="77777777" w:rsidR="006B4268" w:rsidRDefault="006B4268">
            <w:pPr>
              <w:pStyle w:val="xmsonormal"/>
              <w:rPr>
                <w:rFonts w:ascii="Times New Roman" w:hAnsi="Times New Roman" w:cs="Times New Roman"/>
                <w:sz w:val="24"/>
                <w:szCs w:val="24"/>
              </w:rPr>
            </w:pPr>
            <w:r>
              <w:t>Insurance, handling of vehicles and cultural items</w:t>
            </w:r>
          </w:p>
        </w:tc>
      </w:tr>
      <w:tr w:rsidR="006B4268" w14:paraId="33FC13A7"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24CE0" w14:textId="77777777" w:rsidR="006B4268" w:rsidRDefault="006B4268">
            <w:pPr>
              <w:pStyle w:val="xmsonormal"/>
              <w:rPr>
                <w:rFonts w:ascii="Times New Roman" w:hAnsi="Times New Roman" w:cs="Times New Roman"/>
                <w:sz w:val="24"/>
                <w:szCs w:val="24"/>
              </w:rPr>
            </w:pPr>
            <w:r>
              <w:t>Customs inspection and physical examination related costs</w:t>
            </w:r>
          </w:p>
        </w:tc>
      </w:tr>
      <w:tr w:rsidR="006B4268" w14:paraId="2EBB7BE9"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AC52F" w14:textId="77777777" w:rsidR="006B4268" w:rsidRDefault="006B4268">
            <w:pPr>
              <w:pStyle w:val="xmsonormal"/>
              <w:rPr>
                <w:rFonts w:ascii="Times New Roman" w:hAnsi="Times New Roman" w:cs="Times New Roman"/>
                <w:sz w:val="24"/>
                <w:szCs w:val="24"/>
              </w:rPr>
            </w:pPr>
            <w:r>
              <w:t>Handling of heavy or oversized items (piano, safe, etc.)</w:t>
            </w:r>
          </w:p>
        </w:tc>
      </w:tr>
      <w:tr w:rsidR="006B4268" w14:paraId="6EA8FADA"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D5955" w14:textId="77777777" w:rsidR="006B4268" w:rsidRDefault="006B4268">
            <w:pPr>
              <w:pStyle w:val="xmsonormal"/>
              <w:rPr>
                <w:rFonts w:ascii="Times New Roman" w:hAnsi="Times New Roman" w:cs="Times New Roman"/>
                <w:sz w:val="24"/>
                <w:szCs w:val="24"/>
              </w:rPr>
            </w:pPr>
            <w:r>
              <w:t>Multiple deliveries and other charges that are not associated with normal HHG’s removals</w:t>
            </w:r>
          </w:p>
        </w:tc>
      </w:tr>
    </w:tbl>
    <w:p w14:paraId="63AC6964" w14:textId="77777777" w:rsidR="006B4268" w:rsidRDefault="006B4268" w:rsidP="006B4268">
      <w:pPr>
        <w:pStyle w:val="xmsonormal"/>
        <w:rPr>
          <w:rFonts w:ascii="Times New Roman" w:hAnsi="Times New Roman" w:cs="Times New Roman"/>
          <w:sz w:val="24"/>
          <w:szCs w:val="24"/>
        </w:rPr>
      </w:pPr>
      <w:r>
        <w:t> </w:t>
      </w:r>
    </w:p>
    <w:p w14:paraId="68540641" w14:textId="77777777" w:rsidR="006B4268" w:rsidRDefault="006B4268" w:rsidP="006B4268">
      <w:pPr>
        <w:pStyle w:val="xmsonormal"/>
        <w:rPr>
          <w:rFonts w:ascii="Times New Roman" w:hAnsi="Times New Roman" w:cs="Times New Roman"/>
          <w:sz w:val="24"/>
          <w:szCs w:val="24"/>
        </w:rPr>
      </w:pPr>
      <w:r>
        <w:rPr>
          <w:b/>
          <w:bCs/>
          <w:u w:val="single"/>
          <w:shd w:val="clear" w:color="auto" w:fill="FFFF00"/>
        </w:rPr>
        <w:t>Destination FCL</w:t>
      </w:r>
    </w:p>
    <w:p w14:paraId="7A80DF26" w14:textId="77777777" w:rsidR="006B4268" w:rsidRDefault="006B4268" w:rsidP="006B4268">
      <w:pPr>
        <w:pStyle w:val="xmsonormal"/>
        <w:rPr>
          <w:rFonts w:ascii="Times New Roman" w:hAnsi="Times New Roman" w:cs="Times New Roman"/>
          <w:sz w:val="24"/>
          <w:szCs w:val="24"/>
        </w:rPr>
      </w:pPr>
      <w:r>
        <w:t> </w:t>
      </w:r>
    </w:p>
    <w:p w14:paraId="3CFDB874" w14:textId="77777777" w:rsidR="006B4268" w:rsidRDefault="006B4268" w:rsidP="006B4268">
      <w:pPr>
        <w:pStyle w:val="xmsonormal"/>
        <w:rPr>
          <w:rFonts w:ascii="Times New Roman" w:hAnsi="Times New Roman" w:cs="Times New Roman"/>
          <w:sz w:val="24"/>
          <w:szCs w:val="24"/>
        </w:rPr>
      </w:pPr>
      <w:r>
        <w:t>Includes:</w:t>
      </w:r>
    </w:p>
    <w:tbl>
      <w:tblPr>
        <w:tblW w:w="0" w:type="auto"/>
        <w:tblCellMar>
          <w:left w:w="0" w:type="dxa"/>
          <w:right w:w="0" w:type="dxa"/>
        </w:tblCellMar>
        <w:tblLook w:val="04A0" w:firstRow="1" w:lastRow="0" w:firstColumn="1" w:lastColumn="0" w:noHBand="0" w:noVBand="1"/>
      </w:tblPr>
      <w:tblGrid>
        <w:gridCol w:w="9058"/>
      </w:tblGrid>
      <w:tr w:rsidR="006B4268" w14:paraId="6ED20C48" w14:textId="77777777" w:rsidTr="006B4268">
        <w:trPr>
          <w:trHeight w:val="241"/>
        </w:trPr>
        <w:tc>
          <w:tcPr>
            <w:tcW w:w="9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9A1986" w14:textId="77777777" w:rsidR="006B4268" w:rsidRDefault="006B4268">
            <w:pPr>
              <w:pStyle w:val="xmsonormal"/>
              <w:rPr>
                <w:rFonts w:ascii="Times New Roman" w:hAnsi="Times New Roman" w:cs="Times New Roman"/>
                <w:sz w:val="24"/>
                <w:szCs w:val="24"/>
              </w:rPr>
            </w:pPr>
            <w:r>
              <w:t>Port forwarding and bonded transit transportation from St. Petersburg to customs terminal in Moscow = 750 km</w:t>
            </w:r>
          </w:p>
        </w:tc>
      </w:tr>
      <w:tr w:rsidR="006B4268" w14:paraId="04BBE696" w14:textId="77777777" w:rsidTr="006B4268">
        <w:trPr>
          <w:trHeight w:val="173"/>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E27DC" w14:textId="77777777" w:rsidR="006B4268" w:rsidRDefault="006B4268">
            <w:pPr>
              <w:pStyle w:val="xmsonormal"/>
              <w:rPr>
                <w:rFonts w:ascii="Times New Roman" w:hAnsi="Times New Roman" w:cs="Times New Roman"/>
                <w:sz w:val="24"/>
                <w:szCs w:val="24"/>
              </w:rPr>
            </w:pPr>
            <w:r>
              <w:t>Normal import customs clearance for used Household Goods</w:t>
            </w:r>
          </w:p>
        </w:tc>
      </w:tr>
      <w:tr w:rsidR="006B4268" w14:paraId="3A1C8958" w14:textId="77777777" w:rsidTr="006B4268">
        <w:trPr>
          <w:trHeight w:val="173"/>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BCCB" w14:textId="77777777" w:rsidR="006B4268" w:rsidRDefault="006B4268">
            <w:pPr>
              <w:pStyle w:val="xmsonormal"/>
              <w:rPr>
                <w:rFonts w:ascii="Times New Roman" w:hAnsi="Times New Roman" w:cs="Times New Roman"/>
                <w:sz w:val="24"/>
                <w:szCs w:val="24"/>
              </w:rPr>
            </w:pPr>
            <w:r>
              <w:t>Unloading of the container at our warehouse, return of empty container</w:t>
            </w:r>
          </w:p>
        </w:tc>
      </w:tr>
      <w:tr w:rsidR="006B4268" w14:paraId="386719AD" w14:textId="77777777" w:rsidTr="006B4268">
        <w:trPr>
          <w:trHeight w:val="241"/>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DC763" w14:textId="77777777" w:rsidR="006B4268" w:rsidRDefault="006B4268">
            <w:pPr>
              <w:pStyle w:val="xmsonormal"/>
              <w:rPr>
                <w:rFonts w:ascii="Times New Roman" w:hAnsi="Times New Roman" w:cs="Times New Roman"/>
                <w:sz w:val="24"/>
                <w:szCs w:val="24"/>
              </w:rPr>
            </w:pPr>
            <w:r>
              <w:t>Delivery to residence of normal access within city limits</w:t>
            </w:r>
          </w:p>
        </w:tc>
      </w:tr>
      <w:tr w:rsidR="006B4268" w14:paraId="44E0D971" w14:textId="77777777" w:rsidTr="006B4268">
        <w:trPr>
          <w:trHeight w:val="160"/>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0CD4C" w14:textId="77777777" w:rsidR="006B4268" w:rsidRDefault="006B4268">
            <w:pPr>
              <w:pStyle w:val="xmsonormal"/>
              <w:rPr>
                <w:rFonts w:ascii="Times New Roman" w:hAnsi="Times New Roman" w:cs="Times New Roman"/>
                <w:sz w:val="24"/>
                <w:szCs w:val="24"/>
              </w:rPr>
            </w:pPr>
            <w:r>
              <w:t xml:space="preserve">Unpacking of boxes to a counter top or table top surface </w:t>
            </w:r>
          </w:p>
        </w:tc>
      </w:tr>
      <w:tr w:rsidR="006B4268" w14:paraId="5A36DF1B" w14:textId="77777777" w:rsidTr="006B4268">
        <w:trPr>
          <w:trHeight w:val="241"/>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8F0F" w14:textId="77777777" w:rsidR="006B4268" w:rsidRDefault="006B4268">
            <w:pPr>
              <w:pStyle w:val="xmsonormal"/>
              <w:rPr>
                <w:rFonts w:ascii="Times New Roman" w:hAnsi="Times New Roman" w:cs="Times New Roman"/>
                <w:sz w:val="24"/>
                <w:szCs w:val="24"/>
              </w:rPr>
            </w:pPr>
            <w:r>
              <w:t>Normal placing and re-assembly of furniture</w:t>
            </w:r>
          </w:p>
        </w:tc>
      </w:tr>
      <w:tr w:rsidR="006B4268" w14:paraId="2C7A745F" w14:textId="77777777" w:rsidTr="006B4268">
        <w:trPr>
          <w:trHeight w:val="241"/>
        </w:trPr>
        <w:tc>
          <w:tcPr>
            <w:tcW w:w="9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9F28B" w14:textId="77777777" w:rsidR="006B4268" w:rsidRDefault="006B4268">
            <w:pPr>
              <w:pStyle w:val="xmsonormal"/>
              <w:rPr>
                <w:rFonts w:ascii="Times New Roman" w:hAnsi="Times New Roman" w:cs="Times New Roman"/>
                <w:sz w:val="24"/>
                <w:szCs w:val="24"/>
              </w:rPr>
            </w:pPr>
            <w:r>
              <w:t>Removal of debris at the time of delivery</w:t>
            </w:r>
          </w:p>
        </w:tc>
      </w:tr>
    </w:tbl>
    <w:p w14:paraId="70CF2AFD" w14:textId="77777777" w:rsidR="006B4268" w:rsidRDefault="006B4268" w:rsidP="006B4268">
      <w:pPr>
        <w:pStyle w:val="xmsonormal"/>
        <w:rPr>
          <w:rFonts w:ascii="Times New Roman" w:hAnsi="Times New Roman" w:cs="Times New Roman"/>
          <w:sz w:val="24"/>
          <w:szCs w:val="24"/>
        </w:rPr>
      </w:pPr>
      <w:r>
        <w:t> </w:t>
      </w:r>
    </w:p>
    <w:tbl>
      <w:tblPr>
        <w:tblW w:w="9075" w:type="dxa"/>
        <w:tblCellMar>
          <w:left w:w="0" w:type="dxa"/>
          <w:right w:w="0" w:type="dxa"/>
        </w:tblCellMar>
        <w:tblLook w:val="04A0" w:firstRow="1" w:lastRow="0" w:firstColumn="1" w:lastColumn="0" w:noHBand="0" w:noVBand="1"/>
      </w:tblPr>
      <w:tblGrid>
        <w:gridCol w:w="9075"/>
      </w:tblGrid>
      <w:tr w:rsidR="006B4268" w14:paraId="63610406" w14:textId="77777777" w:rsidTr="006B4268">
        <w:trPr>
          <w:trHeight w:val="205"/>
        </w:trPr>
        <w:tc>
          <w:tcPr>
            <w:tcW w:w="9075" w:type="dxa"/>
            <w:tcBorders>
              <w:top w:val="nil"/>
              <w:left w:val="nil"/>
              <w:bottom w:val="single" w:sz="8" w:space="0" w:color="auto"/>
              <w:right w:val="nil"/>
            </w:tcBorders>
            <w:tcMar>
              <w:top w:w="0" w:type="dxa"/>
              <w:left w:w="108" w:type="dxa"/>
              <w:bottom w:w="0" w:type="dxa"/>
              <w:right w:w="108" w:type="dxa"/>
            </w:tcMar>
            <w:hideMark/>
          </w:tcPr>
          <w:p w14:paraId="56B11AE1" w14:textId="77777777" w:rsidR="006B4268" w:rsidRDefault="006B4268">
            <w:pPr>
              <w:pStyle w:val="xmsonormal"/>
              <w:rPr>
                <w:rFonts w:ascii="Times New Roman" w:hAnsi="Times New Roman" w:cs="Times New Roman"/>
                <w:sz w:val="24"/>
                <w:szCs w:val="24"/>
              </w:rPr>
            </w:pPr>
            <w:r>
              <w:t>Excludes:</w:t>
            </w:r>
          </w:p>
        </w:tc>
      </w:tr>
      <w:tr w:rsidR="006B4268" w14:paraId="21B71B6C" w14:textId="77777777" w:rsidTr="006B4268">
        <w:trPr>
          <w:trHeight w:val="237"/>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455AA" w14:textId="77777777" w:rsidR="006B4268" w:rsidRDefault="006B4268">
            <w:pPr>
              <w:pStyle w:val="xmsonormal"/>
              <w:rPr>
                <w:rFonts w:ascii="Times New Roman" w:hAnsi="Times New Roman" w:cs="Times New Roman"/>
                <w:sz w:val="24"/>
                <w:szCs w:val="24"/>
              </w:rPr>
            </w:pPr>
            <w:r>
              <w:t>Import duties 4 € / kg, taxes and government fees as per client’s status and provided paperwork</w:t>
            </w:r>
          </w:p>
        </w:tc>
      </w:tr>
      <w:tr w:rsidR="006B4268" w14:paraId="0F3DD2BE"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CEB6" w14:textId="77777777" w:rsidR="006B4268" w:rsidRDefault="006B4268">
            <w:pPr>
              <w:pStyle w:val="xmsonormal"/>
              <w:rPr>
                <w:rFonts w:ascii="Times New Roman" w:hAnsi="Times New Roman" w:cs="Times New Roman"/>
                <w:sz w:val="24"/>
                <w:szCs w:val="24"/>
              </w:rPr>
            </w:pPr>
            <w:r>
              <w:t xml:space="preserve">DTHC, local port charges and NVOCC @ cost </w:t>
            </w:r>
            <w:proofErr w:type="gramStart"/>
            <w:r>
              <w:t>( ≈</w:t>
            </w:r>
            <w:proofErr w:type="gramEnd"/>
            <w:r>
              <w:t xml:space="preserve"> 500-600 € depending on SL), if not prepaid!</w:t>
            </w:r>
          </w:p>
        </w:tc>
      </w:tr>
      <w:tr w:rsidR="006B4268" w14:paraId="619522A0"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A8675" w14:textId="77777777" w:rsidR="006B4268" w:rsidRDefault="006B4268">
            <w:pPr>
              <w:pStyle w:val="xmsonormal"/>
              <w:rPr>
                <w:rFonts w:ascii="Times New Roman" w:hAnsi="Times New Roman" w:cs="Times New Roman"/>
                <w:sz w:val="24"/>
                <w:szCs w:val="24"/>
              </w:rPr>
            </w:pPr>
            <w:r>
              <w:t>Assistance with payment of duties / taxes to Russian customs authorities @ 150,- € / client</w:t>
            </w:r>
          </w:p>
        </w:tc>
      </w:tr>
      <w:tr w:rsidR="006B4268" w14:paraId="05B4474B"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E3216" w14:textId="77777777" w:rsidR="006B4268" w:rsidRDefault="006B4268">
            <w:pPr>
              <w:pStyle w:val="xmsonormal"/>
              <w:rPr>
                <w:rFonts w:ascii="Times New Roman" w:hAnsi="Times New Roman" w:cs="Times New Roman"/>
                <w:sz w:val="24"/>
                <w:szCs w:val="24"/>
              </w:rPr>
            </w:pPr>
            <w:r>
              <w:t>Storage (7,50 € / m³ / month or part thereof) + warehouse handling (7,50 € / m³ in + out each)</w:t>
            </w:r>
          </w:p>
        </w:tc>
      </w:tr>
      <w:tr w:rsidR="006B4268" w14:paraId="0CE75494"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BECB" w14:textId="77777777" w:rsidR="006B4268" w:rsidRDefault="006B4268">
            <w:pPr>
              <w:pStyle w:val="xmsonormal"/>
              <w:rPr>
                <w:rFonts w:ascii="Times New Roman" w:hAnsi="Times New Roman" w:cs="Times New Roman"/>
                <w:sz w:val="24"/>
                <w:szCs w:val="24"/>
              </w:rPr>
            </w:pPr>
            <w:r>
              <w:t>Abnormal access, long / stair carry, delivery above 2nd floor with no elevator, parking expenses</w:t>
            </w:r>
          </w:p>
        </w:tc>
      </w:tr>
      <w:tr w:rsidR="006B4268" w14:paraId="3E2B2666"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47BB9" w14:textId="77777777" w:rsidR="006B4268" w:rsidRDefault="006B4268">
            <w:pPr>
              <w:pStyle w:val="xmsonormal"/>
              <w:rPr>
                <w:rFonts w:ascii="Times New Roman" w:hAnsi="Times New Roman" w:cs="Times New Roman"/>
                <w:sz w:val="24"/>
                <w:szCs w:val="24"/>
              </w:rPr>
            </w:pPr>
            <w:r>
              <w:t>Assembly of complex pieces of furniture, any items requiring specialized handling / equipment</w:t>
            </w:r>
          </w:p>
        </w:tc>
      </w:tr>
      <w:tr w:rsidR="006B4268" w14:paraId="2503A2A5"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CE7C1" w14:textId="77777777" w:rsidR="006B4268" w:rsidRDefault="006B4268">
            <w:pPr>
              <w:pStyle w:val="xmsonormal"/>
              <w:rPr>
                <w:rFonts w:ascii="Times New Roman" w:hAnsi="Times New Roman" w:cs="Times New Roman"/>
                <w:sz w:val="24"/>
                <w:szCs w:val="24"/>
              </w:rPr>
            </w:pPr>
            <w:r>
              <w:t xml:space="preserve">Special services and 3rd party services, handyman </w:t>
            </w:r>
          </w:p>
        </w:tc>
      </w:tr>
      <w:tr w:rsidR="006B4268" w14:paraId="22E19F56"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34B04" w14:textId="77777777" w:rsidR="006B4268" w:rsidRDefault="006B4268">
            <w:pPr>
              <w:pStyle w:val="xmsonormal"/>
              <w:rPr>
                <w:rFonts w:ascii="Times New Roman" w:hAnsi="Times New Roman" w:cs="Times New Roman"/>
                <w:sz w:val="24"/>
                <w:szCs w:val="24"/>
              </w:rPr>
            </w:pPr>
            <w:r>
              <w:t>Insurance, handling of vehicles and cultural items</w:t>
            </w:r>
          </w:p>
        </w:tc>
      </w:tr>
      <w:tr w:rsidR="006B4268" w14:paraId="5B09426C"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79A3" w14:textId="77777777" w:rsidR="006B4268" w:rsidRDefault="006B4268">
            <w:pPr>
              <w:pStyle w:val="xmsonormal"/>
              <w:rPr>
                <w:rFonts w:ascii="Times New Roman" w:hAnsi="Times New Roman" w:cs="Times New Roman"/>
                <w:sz w:val="24"/>
                <w:szCs w:val="24"/>
              </w:rPr>
            </w:pPr>
            <w:r>
              <w:t>Customs inspection and physical examination related costs</w:t>
            </w:r>
          </w:p>
        </w:tc>
      </w:tr>
      <w:tr w:rsidR="006B4268" w14:paraId="533E3292"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60BC5" w14:textId="77777777" w:rsidR="006B4268" w:rsidRDefault="006B4268">
            <w:pPr>
              <w:pStyle w:val="xmsonormal"/>
              <w:rPr>
                <w:rFonts w:ascii="Times New Roman" w:hAnsi="Times New Roman" w:cs="Times New Roman"/>
                <w:sz w:val="24"/>
                <w:szCs w:val="24"/>
              </w:rPr>
            </w:pPr>
            <w:r>
              <w:t>Handling of heavy or oversized items (piano, safe, etc.)</w:t>
            </w:r>
          </w:p>
        </w:tc>
      </w:tr>
      <w:tr w:rsidR="006B4268" w14:paraId="362F7A7E" w14:textId="77777777" w:rsidTr="006B4268">
        <w:trPr>
          <w:trHeight w:val="205"/>
        </w:trPr>
        <w:tc>
          <w:tcPr>
            <w:tcW w:w="90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F91D" w14:textId="77777777" w:rsidR="006B4268" w:rsidRDefault="006B4268">
            <w:pPr>
              <w:pStyle w:val="xmsonormal"/>
              <w:rPr>
                <w:rFonts w:ascii="Times New Roman" w:hAnsi="Times New Roman" w:cs="Times New Roman"/>
                <w:sz w:val="24"/>
                <w:szCs w:val="24"/>
              </w:rPr>
            </w:pPr>
            <w:r>
              <w:t>Multiple deliveries and other charges that are not associated with normal HHG’s removals</w:t>
            </w:r>
          </w:p>
        </w:tc>
      </w:tr>
    </w:tbl>
    <w:p w14:paraId="567B0D03" w14:textId="77777777" w:rsidR="006B4268" w:rsidRDefault="006B4268" w:rsidP="006B4268">
      <w:pPr>
        <w:pStyle w:val="xmsonormal"/>
        <w:rPr>
          <w:rFonts w:ascii="Times New Roman" w:hAnsi="Times New Roman" w:cs="Times New Roman"/>
          <w:sz w:val="24"/>
          <w:szCs w:val="24"/>
        </w:rPr>
      </w:pPr>
      <w:r>
        <w:t> </w:t>
      </w:r>
    </w:p>
    <w:p w14:paraId="49AF12BE" w14:textId="77777777" w:rsidR="006B4268" w:rsidRDefault="006B4268" w:rsidP="006B4268">
      <w:pPr>
        <w:pStyle w:val="xmsonormal"/>
        <w:rPr>
          <w:rFonts w:ascii="Times New Roman" w:hAnsi="Times New Roman" w:cs="Times New Roman"/>
          <w:sz w:val="24"/>
          <w:szCs w:val="24"/>
        </w:rPr>
      </w:pPr>
      <w:r>
        <w:t> </w:t>
      </w:r>
    </w:p>
    <w:p w14:paraId="5C6ED704" w14:textId="77777777" w:rsidR="006B4268" w:rsidRDefault="006B4268" w:rsidP="006B4268">
      <w:pPr>
        <w:pStyle w:val="xmsonormal"/>
        <w:rPr>
          <w:rFonts w:ascii="Times New Roman" w:hAnsi="Times New Roman" w:cs="Times New Roman"/>
          <w:sz w:val="24"/>
          <w:szCs w:val="24"/>
        </w:rPr>
      </w:pPr>
      <w:r>
        <w:rPr>
          <w:b/>
          <w:bCs/>
          <w:u w:val="single"/>
          <w:shd w:val="clear" w:color="auto" w:fill="FFFF00"/>
        </w:rPr>
        <w:t>Registration of Cultural Items:</w:t>
      </w:r>
    </w:p>
    <w:p w14:paraId="233BA60C" w14:textId="77777777" w:rsidR="006B4268" w:rsidRDefault="006B4268" w:rsidP="006B4268">
      <w:pPr>
        <w:pStyle w:val="xmsonormal"/>
        <w:rPr>
          <w:rFonts w:ascii="Times New Roman" w:hAnsi="Times New Roman" w:cs="Times New Roman"/>
          <w:sz w:val="24"/>
          <w:szCs w:val="24"/>
        </w:rPr>
      </w:pPr>
      <w:r>
        <w:t> </w:t>
      </w:r>
    </w:p>
    <w:p w14:paraId="425DDBEC" w14:textId="77777777" w:rsidR="006B4268" w:rsidRDefault="006B4268" w:rsidP="006B4268">
      <w:pPr>
        <w:pStyle w:val="xmsonormal"/>
        <w:rPr>
          <w:rFonts w:ascii="Times New Roman" w:hAnsi="Times New Roman" w:cs="Times New Roman"/>
          <w:sz w:val="24"/>
          <w:szCs w:val="24"/>
        </w:rPr>
      </w:pPr>
      <w:r>
        <w:t xml:space="preserve">Certain items are classified as "items of cultural value or cultural designation" by Russian customs and are subjected to special regulations of transfer through customs border (paintings, musical instruments, weapons, medals, items over 50 years old, etc.). Permission documents are required for all artwork and antiques regardless of where they were purchased or imported from. </w:t>
      </w:r>
    </w:p>
    <w:p w14:paraId="25CAC41A" w14:textId="77777777" w:rsidR="006B4268" w:rsidRDefault="006B4268" w:rsidP="006B4268">
      <w:pPr>
        <w:pStyle w:val="xmsonormal"/>
        <w:rPr>
          <w:rFonts w:ascii="Times New Roman" w:hAnsi="Times New Roman" w:cs="Times New Roman"/>
          <w:sz w:val="24"/>
          <w:szCs w:val="24"/>
        </w:rPr>
      </w:pPr>
      <w:r>
        <w:t> </w:t>
      </w:r>
    </w:p>
    <w:p w14:paraId="6ED1EB57" w14:textId="77777777" w:rsidR="006B4268" w:rsidRDefault="006B4268" w:rsidP="006B4268">
      <w:pPr>
        <w:pStyle w:val="xmsonormal"/>
        <w:rPr>
          <w:rFonts w:ascii="Times New Roman" w:hAnsi="Times New Roman" w:cs="Times New Roman"/>
          <w:sz w:val="24"/>
          <w:szCs w:val="24"/>
        </w:rPr>
      </w:pPr>
      <w:r>
        <w:t> </w:t>
      </w:r>
    </w:p>
    <w:p w14:paraId="063E56E7" w14:textId="77777777" w:rsidR="006B4268" w:rsidRDefault="006B4268" w:rsidP="006B4268">
      <w:pPr>
        <w:pStyle w:val="xmsonormal"/>
        <w:rPr>
          <w:rFonts w:ascii="Times New Roman" w:hAnsi="Times New Roman" w:cs="Times New Roman"/>
          <w:sz w:val="24"/>
          <w:szCs w:val="24"/>
        </w:rPr>
      </w:pPr>
      <w:r>
        <w:rPr>
          <w:b/>
          <w:bCs/>
          <w:u w:val="single"/>
          <w:shd w:val="clear" w:color="auto" w:fill="FFFF00"/>
        </w:rPr>
        <w:t>General Terms and Conditions:</w:t>
      </w:r>
    </w:p>
    <w:p w14:paraId="20989DC8" w14:textId="77777777" w:rsidR="006B4268" w:rsidRDefault="006B4268" w:rsidP="006B4268">
      <w:pPr>
        <w:pStyle w:val="xmsonormal"/>
        <w:rPr>
          <w:rFonts w:ascii="Times New Roman" w:hAnsi="Times New Roman" w:cs="Times New Roman"/>
          <w:sz w:val="24"/>
          <w:szCs w:val="24"/>
        </w:rPr>
      </w:pPr>
      <w:r>
        <w:t> </w:t>
      </w:r>
    </w:p>
    <w:p w14:paraId="19E9CE89" w14:textId="77777777" w:rsidR="006B4268" w:rsidRDefault="006B4268" w:rsidP="006B4268">
      <w:pPr>
        <w:pStyle w:val="xmsonormal"/>
        <w:rPr>
          <w:rFonts w:ascii="Times New Roman" w:hAnsi="Times New Roman" w:cs="Times New Roman"/>
          <w:sz w:val="24"/>
          <w:szCs w:val="24"/>
        </w:rPr>
      </w:pPr>
      <w:r>
        <w:t>This quotation is valid for the period of 30 days from this date and the general rates are quoted in EUROS.</w:t>
      </w:r>
    </w:p>
    <w:p w14:paraId="39A51F2F" w14:textId="77777777" w:rsidR="006B4268" w:rsidRDefault="006B4268" w:rsidP="006B4268">
      <w:pPr>
        <w:pStyle w:val="xmsonormal"/>
        <w:rPr>
          <w:rFonts w:ascii="Times New Roman" w:hAnsi="Times New Roman" w:cs="Times New Roman"/>
          <w:sz w:val="24"/>
          <w:szCs w:val="24"/>
        </w:rPr>
      </w:pPr>
      <w:r>
        <w:t> </w:t>
      </w:r>
    </w:p>
    <w:p w14:paraId="0EAA1782" w14:textId="77777777" w:rsidR="006B4268" w:rsidRDefault="006B4268" w:rsidP="006B4268">
      <w:pPr>
        <w:pStyle w:val="xmsonormal"/>
        <w:rPr>
          <w:rFonts w:ascii="Times New Roman" w:hAnsi="Times New Roman" w:cs="Times New Roman"/>
          <w:sz w:val="24"/>
          <w:szCs w:val="24"/>
        </w:rPr>
      </w:pPr>
      <w:r>
        <w:t>Freight charges are based on today’s freight and exchange rates. We reserve the right to adjust these rates should the need arise, due to fluctuations in underlying services.</w:t>
      </w:r>
    </w:p>
    <w:p w14:paraId="2E548A01" w14:textId="77777777" w:rsidR="006B4268" w:rsidRDefault="006B4268" w:rsidP="006B4268">
      <w:pPr>
        <w:pStyle w:val="xmsonormal"/>
        <w:rPr>
          <w:rFonts w:ascii="Times New Roman" w:hAnsi="Times New Roman" w:cs="Times New Roman"/>
          <w:sz w:val="24"/>
          <w:szCs w:val="24"/>
        </w:rPr>
      </w:pPr>
      <w:r>
        <w:t> </w:t>
      </w:r>
    </w:p>
    <w:p w14:paraId="7C3F0F8B" w14:textId="77777777" w:rsidR="006B4268" w:rsidRDefault="006B4268" w:rsidP="006B4268">
      <w:pPr>
        <w:pStyle w:val="xmsonormal"/>
        <w:rPr>
          <w:rFonts w:ascii="Times New Roman" w:hAnsi="Times New Roman" w:cs="Times New Roman"/>
          <w:sz w:val="24"/>
          <w:szCs w:val="24"/>
        </w:rPr>
      </w:pPr>
      <w:r>
        <w:t>This quotation will terminate if the underlying transportation costs increase as a result of any Acts of God such as war, strikes, riots, rebellion, lock-outs, etc.</w:t>
      </w:r>
    </w:p>
    <w:p w14:paraId="1A4436C4" w14:textId="77777777" w:rsidR="006B4268" w:rsidRDefault="006B4268" w:rsidP="006B4268">
      <w:pPr>
        <w:pStyle w:val="xmsonormal"/>
        <w:rPr>
          <w:rFonts w:ascii="Times New Roman" w:hAnsi="Times New Roman" w:cs="Times New Roman"/>
          <w:sz w:val="24"/>
          <w:szCs w:val="24"/>
        </w:rPr>
      </w:pPr>
      <w:r>
        <w:t> </w:t>
      </w:r>
    </w:p>
    <w:p w14:paraId="45F5CD00" w14:textId="77777777" w:rsidR="006B4268" w:rsidRDefault="006B4268" w:rsidP="006B4268">
      <w:pPr>
        <w:pStyle w:val="xmsonormal"/>
        <w:rPr>
          <w:rFonts w:ascii="Times New Roman" w:hAnsi="Times New Roman" w:cs="Times New Roman"/>
          <w:sz w:val="24"/>
          <w:szCs w:val="24"/>
        </w:rPr>
      </w:pPr>
      <w:r>
        <w:t xml:space="preserve">All business of whatsoever nature, be it as agents or as principal with any party whatsoever, shall solely be conducted in accordance with the </w:t>
      </w:r>
      <w:hyperlink r:id="rId4" w:history="1">
        <w:r>
          <w:rPr>
            <w:rStyle w:val="Hyperlink"/>
          </w:rPr>
          <w:t>FIDI Professional Cooperation Guidelines (PCGs)</w:t>
        </w:r>
      </w:hyperlink>
      <w:r>
        <w:t xml:space="preserve"> latest edition.</w:t>
      </w:r>
    </w:p>
    <w:p w14:paraId="01C66400" w14:textId="77777777" w:rsidR="006B4268" w:rsidRDefault="006B4268" w:rsidP="006B4268">
      <w:pPr>
        <w:pStyle w:val="xmsonormal"/>
        <w:rPr>
          <w:rFonts w:ascii="Times New Roman" w:hAnsi="Times New Roman" w:cs="Times New Roman"/>
          <w:sz w:val="24"/>
          <w:szCs w:val="24"/>
        </w:rPr>
      </w:pPr>
      <w:r>
        <w:t> </w:t>
      </w:r>
    </w:p>
    <w:p w14:paraId="32F7162A" w14:textId="77777777" w:rsidR="006B4268" w:rsidRDefault="006B4268" w:rsidP="006B4268">
      <w:pPr>
        <w:pStyle w:val="xmsonormal"/>
        <w:rPr>
          <w:rFonts w:ascii="Times New Roman" w:hAnsi="Times New Roman" w:cs="Times New Roman"/>
          <w:sz w:val="24"/>
          <w:szCs w:val="24"/>
        </w:rPr>
      </w:pPr>
      <w:r>
        <w:t> </w:t>
      </w:r>
    </w:p>
    <w:p w14:paraId="4C1A0BA5" w14:textId="77777777" w:rsidR="006B4268" w:rsidRDefault="006B4268" w:rsidP="006B4268">
      <w:pPr>
        <w:pStyle w:val="xmsonormal"/>
        <w:rPr>
          <w:rFonts w:ascii="Times New Roman" w:hAnsi="Times New Roman" w:cs="Times New Roman"/>
          <w:sz w:val="24"/>
          <w:szCs w:val="24"/>
        </w:rPr>
      </w:pPr>
      <w:r>
        <w:rPr>
          <w:b/>
          <w:bCs/>
          <w:u w:val="single"/>
          <w:shd w:val="clear" w:color="auto" w:fill="FFFF00"/>
        </w:rPr>
        <w:t>Payment conditions:</w:t>
      </w:r>
    </w:p>
    <w:p w14:paraId="1E3DA73D" w14:textId="77777777" w:rsidR="006B4268" w:rsidRDefault="006B4268" w:rsidP="006B4268">
      <w:pPr>
        <w:pStyle w:val="xmsonormal"/>
        <w:rPr>
          <w:rFonts w:ascii="Times New Roman" w:hAnsi="Times New Roman" w:cs="Times New Roman"/>
          <w:sz w:val="24"/>
          <w:szCs w:val="24"/>
        </w:rPr>
      </w:pPr>
      <w:r>
        <w:t> </w:t>
      </w:r>
    </w:p>
    <w:p w14:paraId="3E459106" w14:textId="77777777" w:rsidR="006B4268" w:rsidRDefault="006B4268" w:rsidP="006B4268">
      <w:pPr>
        <w:pStyle w:val="xmsonormal"/>
        <w:rPr>
          <w:rFonts w:ascii="Times New Roman" w:hAnsi="Times New Roman" w:cs="Times New Roman"/>
          <w:sz w:val="24"/>
          <w:szCs w:val="24"/>
        </w:rPr>
      </w:pPr>
      <w:r>
        <w:t>The invoice will be based on the actual volume/ weight and space / equipment / transport availability. IMS requires prepayment unless otherwise specified. Charges paid by IMS (e.g. THC, customs duties, storage, etc.) will be billed back at actual + pre-financing fee.</w:t>
      </w:r>
    </w:p>
    <w:p w14:paraId="0DD9600F" w14:textId="77777777" w:rsidR="006B4268" w:rsidRDefault="006B4268" w:rsidP="006B4268">
      <w:pPr>
        <w:pStyle w:val="xmsonormal"/>
        <w:rPr>
          <w:rFonts w:ascii="Times New Roman" w:hAnsi="Times New Roman" w:cs="Times New Roman"/>
          <w:sz w:val="24"/>
          <w:szCs w:val="24"/>
        </w:rPr>
      </w:pPr>
      <w:r>
        <w:rPr>
          <w:color w:val="1F497D"/>
          <w:lang w:val="en-GB"/>
        </w:rPr>
        <w:t> </w:t>
      </w:r>
    </w:p>
    <w:p w14:paraId="6746E0DC" w14:textId="0D05015E" w:rsidR="006B4268" w:rsidRDefault="006B4268" w:rsidP="006B4268">
      <w:pPr>
        <w:pStyle w:val="xmsonormal"/>
        <w:rPr>
          <w:rFonts w:ascii="Times New Roman" w:hAnsi="Times New Roman" w:cs="Times New Roman"/>
          <w:sz w:val="24"/>
          <w:szCs w:val="24"/>
        </w:rPr>
      </w:pPr>
      <w:r>
        <w:rPr>
          <w:color w:val="1F497D"/>
          <w:lang w:val="en-GB"/>
        </w:rPr>
        <w:t> </w:t>
      </w:r>
      <w:r w:rsidR="00DC783E">
        <w:rPr>
          <w:rFonts w:ascii="Arial" w:eastAsia="Times New Roman" w:hAnsi="Arial" w:cs="Arial"/>
          <w:noProof/>
          <w:color w:val="000000"/>
        </w:rPr>
        <w:drawing>
          <wp:inline distT="0" distB="0" distL="0" distR="0" wp14:anchorId="3B4F7887" wp14:editId="6D0251B2">
            <wp:extent cx="6291580" cy="1202690"/>
            <wp:effectExtent l="0" t="0" r="1397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91580" cy="1202690"/>
                    </a:xfrm>
                    <a:prstGeom prst="rect">
                      <a:avLst/>
                    </a:prstGeom>
                    <a:noFill/>
                    <a:ln>
                      <a:noFill/>
                    </a:ln>
                  </pic:spPr>
                </pic:pic>
              </a:graphicData>
            </a:graphic>
          </wp:inline>
        </w:drawing>
      </w:r>
    </w:p>
    <w:p w14:paraId="252D47B8" w14:textId="77777777" w:rsidR="006B4268" w:rsidRDefault="006B4268" w:rsidP="006B4268">
      <w:pPr>
        <w:pStyle w:val="xmsonormal"/>
        <w:rPr>
          <w:rFonts w:ascii="Times New Roman" w:hAnsi="Times New Roman" w:cs="Times New Roman"/>
          <w:sz w:val="24"/>
          <w:szCs w:val="24"/>
        </w:rPr>
      </w:pPr>
    </w:p>
    <w:p w14:paraId="669F76BC" w14:textId="77777777" w:rsidR="00851BED" w:rsidRDefault="00851BED"/>
    <w:sectPr w:rsidR="00851BED"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68"/>
    <w:rsid w:val="00047433"/>
    <w:rsid w:val="0012157B"/>
    <w:rsid w:val="006B4268"/>
    <w:rsid w:val="006E4A8C"/>
    <w:rsid w:val="007071A7"/>
    <w:rsid w:val="00851BED"/>
    <w:rsid w:val="00954784"/>
    <w:rsid w:val="00B104E5"/>
    <w:rsid w:val="00B861CF"/>
    <w:rsid w:val="00DC78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9CF1"/>
  <w15:chartTrackingRefBased/>
  <w15:docId w15:val="{214EC3A9-8680-4350-A830-4C4B6E09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4268"/>
    <w:rPr>
      <w:color w:val="0000FF"/>
      <w:u w:val="single"/>
    </w:rPr>
  </w:style>
  <w:style w:type="paragraph" w:customStyle="1" w:styleId="xmsonormal">
    <w:name w:val="x_msonormal"/>
    <w:basedOn w:val="Normal"/>
    <w:rsid w:val="006B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0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d0697ce7-d2c2-4a64-9539-79be95b56914" TargetMode="External"/><Relationship Id="rId5" Type="http://schemas.openxmlformats.org/officeDocument/2006/relationships/image" Target="media/image1.png"/><Relationship Id="rId4" Type="http://schemas.openxmlformats.org/officeDocument/2006/relationships/hyperlink" Target="https://www.mobilityex.com/content/pdf/PC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2</cp:revision>
  <dcterms:created xsi:type="dcterms:W3CDTF">2020-10-22T09:06:00Z</dcterms:created>
  <dcterms:modified xsi:type="dcterms:W3CDTF">2020-10-22T13:02:00Z</dcterms:modified>
</cp:coreProperties>
</file>