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C75D" w14:textId="6F4EF5C0" w:rsidR="008F1409" w:rsidRPr="008F1409" w:rsidRDefault="008F1409" w:rsidP="006D4895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>FCL</w:t>
      </w:r>
    </w:p>
    <w:p w14:paraId="4F644F62" w14:textId="2ED5DFAD" w:rsidR="008F1409" w:rsidRPr="008F1409" w:rsidRDefault="008F1409" w:rsidP="006D4895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 xml:space="preserve">Services </w:t>
      </w:r>
      <w:r w:rsidR="006D4895"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>Include</w:t>
      </w:r>
    </w:p>
    <w:p w14:paraId="4D94B9B8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N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ormal customs clearance (TOR, URN required*)</w:t>
      </w:r>
    </w:p>
    <w:p w14:paraId="39F4F1A8" w14:textId="417736D3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F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uel surcharge</w:t>
      </w:r>
    </w:p>
    <w:p w14:paraId="11B0D3F7" w14:textId="46FB839D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DRS and DVS fees, DO Fees FCL </w:t>
      </w:r>
    </w:p>
    <w:p w14:paraId="3D12A496" w14:textId="157F1226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Port charges </w:t>
      </w:r>
    </w:p>
    <w:p w14:paraId="2D71922A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haulage to warehouse</w:t>
      </w:r>
    </w:p>
    <w:p w14:paraId="3CB70943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HHE to be delivered assuming good </w:t>
      </w:r>
      <w:proofErr w:type="gramStart"/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access</w:t>
      </w:r>
      <w:proofErr w:type="gramEnd"/>
    </w:p>
    <w:p w14:paraId="2FB321AE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G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round/first floor</w:t>
      </w:r>
    </w:p>
    <w:p w14:paraId="251DB552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F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ull unpack, basic setup and debris removal (same day, one time)</w:t>
      </w:r>
    </w:p>
    <w:p w14:paraId="3EA79895" w14:textId="7D7C40C2" w:rsidR="006D4895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ar will be to handout our </w:t>
      </w:r>
      <w:proofErr w:type="spellStart"/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Herfordshire</w:t>
      </w:r>
      <w:proofErr w:type="spellEnd"/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warehouse </w:t>
      </w:r>
      <w:proofErr w:type="gramStart"/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only</w:t>
      </w:r>
      <w:proofErr w:type="gramEnd"/>
    </w:p>
    <w:p w14:paraId="3E9569DD" w14:textId="77777777" w:rsidR="006D4895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</w:p>
    <w:p w14:paraId="3706F045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 xml:space="preserve">Services </w:t>
      </w:r>
      <w:r w:rsidR="006D4895"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>Exclude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</w:t>
      </w:r>
    </w:p>
    <w:p w14:paraId="472218AB" w14:textId="10A3096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proofErr w:type="gramStart"/>
      <w:r w:rsidRPr="00D203B0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DTHC</w:t>
      </w:r>
      <w:r w:rsidR="00D203B0" w:rsidRPr="00D203B0">
        <w:rPr>
          <w:rFonts w:asciiTheme="minorBidi" w:hAnsiTheme="minorBidi" w:cstheme="minorBidi"/>
          <w:sz w:val="24"/>
          <w:szCs w:val="24"/>
        </w:rPr>
        <w:t>(</w:t>
      </w:r>
      <w:proofErr w:type="gramEnd"/>
      <w:r w:rsidR="00D203B0" w:rsidRPr="00D203B0">
        <w:rPr>
          <w:rFonts w:asciiTheme="minorBidi" w:hAnsiTheme="minorBidi" w:cstheme="minorBidi"/>
          <w:sz w:val="24"/>
          <w:szCs w:val="24"/>
        </w:rPr>
        <w:t>20ft – USD320.00 / 40ft – USD450.00)</w:t>
      </w:r>
      <w:r w:rsidRPr="00D203B0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203B0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DDocs</w:t>
      </w:r>
      <w:proofErr w:type="spellEnd"/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, shipping line related charges - LOLO, GRI, PSS </w:t>
      </w:r>
    </w:p>
    <w:p w14:paraId="03BBB3F6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Congestion Surcharges (if applicable – </w:t>
      </w:r>
      <w:proofErr w:type="gramStart"/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depends</w:t>
      </w:r>
      <w:proofErr w:type="gramEnd"/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if Origin prepaid)</w:t>
      </w:r>
    </w:p>
    <w:p w14:paraId="21F65C2D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Duties / Taxes or demurrage charges</w:t>
      </w:r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 </w:t>
      </w:r>
    </w:p>
    <w:p w14:paraId="4D2C8A0B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onsequential loss due to shipping line delays or haulage non arrival</w:t>
      </w: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 </w:t>
      </w:r>
    </w:p>
    <w:p w14:paraId="3F893F5A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eavy lift surcharges, congestion surcharges</w:t>
      </w:r>
    </w:p>
    <w:p w14:paraId="11046DBE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Warehouse handling if container </w:t>
      </w:r>
      <w:proofErr w:type="gramStart"/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diverted</w:t>
      </w:r>
      <w:proofErr w:type="gramEnd"/>
    </w:p>
    <w:p w14:paraId="1CBA5F7C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ommercial clearances (unless pre-paid)</w:t>
      </w:r>
    </w:p>
    <w:p w14:paraId="2212E070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Customs Inspections, examination charges or associated fees Including Quarantine</w:t>
      </w:r>
    </w:p>
    <w:p w14:paraId="1939B682" w14:textId="77777777" w:rsidR="008F1409" w:rsidRPr="008F1409" w:rsidRDefault="006D4895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MAF or any other government inspection fees, port handling charges or taxes, seasonal port surcharges</w:t>
      </w:r>
    </w:p>
    <w:p w14:paraId="6BFFAE34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P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arking Suspension or penalty notices/ Parking Permits, shuttle services</w:t>
      </w:r>
    </w:p>
    <w:p w14:paraId="637D5C52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pecialist equipment, Heavy lift surcharges, </w:t>
      </w:r>
    </w:p>
    <w:p w14:paraId="7193F767" w14:textId="77777777" w:rsidR="008F1409" w:rsidRP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ifficult access at destination</w:t>
      </w:r>
    </w:p>
    <w:p w14:paraId="09FAECA8" w14:textId="77777777" w:rsidR="004C092E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</w:t>
      </w:r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torage, handy man charges, long carries, extra/weekend </w:t>
      </w:r>
      <w:proofErr w:type="gramStart"/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collections</w:t>
      </w:r>
      <w:proofErr w:type="gramEnd"/>
      <w:r w:rsidR="006D4895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and deliveries.</w:t>
      </w:r>
    </w:p>
    <w:p w14:paraId="41425A52" w14:textId="77777777" w:rsidR="004C092E" w:rsidRDefault="004C092E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</w:p>
    <w:p w14:paraId="7A793A89" w14:textId="77777777" w:rsidR="00C3608C" w:rsidRDefault="004C092E" w:rsidP="004C092E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t>Additional charges</w:t>
      </w:r>
    </w:p>
    <w:p w14:paraId="2A81BEC8" w14:textId="77777777" w:rsidR="005C0F59" w:rsidRDefault="00C3608C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5C0F5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Shuttle service – 20ft USD</w:t>
      </w:r>
      <w:r w:rsidR="005C0F59" w:rsidRPr="005C0F5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S320, 40 ft USD450</w:t>
      </w:r>
    </w:p>
    <w:p w14:paraId="6298608B" w14:textId="77777777" w:rsidR="005C0F59" w:rsidRDefault="005C0F59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Handling 1 upright piano – USD275</w:t>
      </w:r>
    </w:p>
    <w:p w14:paraId="3BA8AE2E" w14:textId="77777777" w:rsidR="0005040C" w:rsidRDefault="005C0F59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Warehouse Handling – USD25.00</w:t>
      </w:r>
      <w:r w:rsidR="0005040C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/ Per </w:t>
      </w:r>
      <w:proofErr w:type="spellStart"/>
      <w:r w:rsidR="0005040C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cbm</w:t>
      </w:r>
      <w:proofErr w:type="spellEnd"/>
    </w:p>
    <w:p w14:paraId="2168B54C" w14:textId="401D39DF" w:rsidR="0005040C" w:rsidRDefault="0005040C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Storage – USD25.00 per 250cft container, Per week or part thereof</w:t>
      </w:r>
    </w:p>
    <w:p w14:paraId="4BF81C66" w14:textId="106F63CD" w:rsidR="0005040C" w:rsidRDefault="0005040C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Long Carry – 320.</w:t>
      </w:r>
      <w:r w:rsidR="00E32273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00USD / Flat fee</w:t>
      </w:r>
    </w:p>
    <w:p w14:paraId="6EE2F93C" w14:textId="0DEC1111" w:rsidR="00E32273" w:rsidRDefault="00E32273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Stair Carry – 5.00 USD per </w:t>
      </w:r>
      <w:proofErr w:type="spellStart"/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cbm</w:t>
      </w:r>
      <w:proofErr w:type="spellEnd"/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/ per floor (up to 2 two flights included)</w:t>
      </w:r>
    </w:p>
    <w:p w14:paraId="3975C56B" w14:textId="5698ADFD" w:rsidR="00320F38" w:rsidRDefault="00320F38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Handyman – 350.00 USD based on 1 man (up to 4 hours) / 500.00 USD based on 1 man (4 to 8 hours)</w:t>
      </w:r>
    </w:p>
    <w:p w14:paraId="4E25436C" w14:textId="3E696CED" w:rsidR="00320F38" w:rsidRDefault="00320F38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proofErr w:type="spellStart"/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Uncrating</w:t>
      </w:r>
      <w:proofErr w:type="spellEnd"/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– 7.50 USD per crate (first 5 crates free of charge, this includes disposal</w:t>
      </w:r>
      <w:r w:rsidR="00111322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)</w:t>
      </w:r>
    </w:p>
    <w:p w14:paraId="10497DEF" w14:textId="364C7CB1" w:rsidR="00111322" w:rsidRDefault="00111322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Outside Elevator – As per request</w:t>
      </w:r>
    </w:p>
    <w:p w14:paraId="6C36E9E6" w14:textId="1822AC55" w:rsidR="00111322" w:rsidRDefault="00111322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Debris Removal – 200.00 USD (per service performed, 15+ days after delivery)</w:t>
      </w:r>
    </w:p>
    <w:p w14:paraId="799174CE" w14:textId="7389EF41" w:rsidR="00C3608C" w:rsidRDefault="001D6152" w:rsidP="001D6152">
      <w:pPr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Grand Piano – As per request </w:t>
      </w:r>
    </w:p>
    <w:p w14:paraId="050B260B" w14:textId="522892B8" w:rsidR="006D4895" w:rsidRDefault="006D4895" w:rsidP="004C092E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br/>
      </w:r>
      <w:r w:rsidRPr="008F1409">
        <w:rPr>
          <w:rFonts w:asciiTheme="minorBidi" w:hAnsiTheme="minorBidi" w:cstheme="minorBidi"/>
          <w:b/>
          <w:bCs/>
          <w:sz w:val="24"/>
          <w:szCs w:val="24"/>
          <w:lang w:val="en-US" w:eastAsia="zh-TW"/>
          <w14:ligatures w14:val="none"/>
        </w:rPr>
        <w:t>All quotations are valid for 28 days and subject to our trading terms and conditions (Available on request). Note all costs excluded from our quotation, and pre-paid by BTR will attract a 10% admin fee.</w:t>
      </w: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br/>
      </w:r>
      <w:r w:rsidRPr="008F1409">
        <w:rPr>
          <w:rFonts w:asciiTheme="minorBidi" w:hAnsiTheme="minorBidi" w:cstheme="minorBidi"/>
          <w:b/>
          <w:bCs/>
          <w:sz w:val="24"/>
          <w:szCs w:val="24"/>
          <w:lang w:eastAsia="en-GB"/>
          <w14:ligatures w14:val="none"/>
        </w:rPr>
        <w:br/>
      </w: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Please let me know if I have missed anything, otherwise we look forward to your booking.</w:t>
      </w:r>
    </w:p>
    <w:p w14:paraId="3E2670B6" w14:textId="77777777" w:rsidR="008F1409" w:rsidRDefault="008F1409" w:rsidP="006D4895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</w:p>
    <w:p w14:paraId="63CFD34D" w14:textId="77777777" w:rsid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Best regards,</w:t>
      </w:r>
    </w:p>
    <w:p w14:paraId="323B45AB" w14:textId="77777777" w:rsidR="008F1409" w:rsidRP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</w:p>
    <w:p w14:paraId="36EA2064" w14:textId="77777777" w:rsid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Jack Brewin</w:t>
      </w:r>
    </w:p>
    <w:p w14:paraId="5723C482" w14:textId="14E6590F" w:rsid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Phone: </w:t>
      </w: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+44 1582495495</w:t>
      </w:r>
    </w:p>
    <w:p w14:paraId="07A7FA70" w14:textId="041FC86D" w:rsidR="008F1409" w:rsidRP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Email:</w:t>
      </w:r>
      <w:r w:rsidR="00F3068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</w:t>
      </w:r>
      <w:r w:rsidR="00F30689" w:rsidRPr="00F3068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jackb@btrinternational.com</w:t>
      </w:r>
    </w:p>
    <w:p w14:paraId="4EE979FD" w14:textId="2F072528" w:rsidR="008F1409" w:rsidRP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noProof/>
          <w:sz w:val="24"/>
          <w:szCs w:val="24"/>
          <w:lang w:eastAsia="en-GB"/>
          <w14:ligatures w14:val="none"/>
        </w:rPr>
        <w:drawing>
          <wp:inline distT="0" distB="0" distL="0" distR="0" wp14:anchorId="7EB43E88" wp14:editId="4B2D9703">
            <wp:extent cx="1379220" cy="784860"/>
            <wp:effectExtent l="0" t="0" r="11430" b="15240"/>
            <wp:docPr id="1095627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BAB2" w14:textId="77777777" w:rsidR="008F1409" w:rsidRPr="008F1409" w:rsidRDefault="001D6152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hyperlink r:id="rId6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Consulting Services</w:t>
        </w:r>
      </w:hyperlink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| </w:t>
      </w:r>
      <w:hyperlink r:id="rId7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Pre-Assignment Management</w:t>
        </w:r>
      </w:hyperlink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| </w:t>
      </w:r>
      <w:hyperlink r:id="rId8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Expense Management</w:t>
        </w:r>
      </w:hyperlink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</w:t>
      </w:r>
    </w:p>
    <w:p w14:paraId="207C2C10" w14:textId="77777777" w:rsidR="008F1409" w:rsidRPr="008F1409" w:rsidRDefault="001D6152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hyperlink r:id="rId9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Move Management</w:t>
        </w:r>
      </w:hyperlink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 | </w:t>
      </w:r>
      <w:hyperlink r:id="rId10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Destination Services</w:t>
        </w:r>
      </w:hyperlink>
      <w:r w:rsidR="008F1409"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 xml:space="preserve">| </w:t>
      </w:r>
      <w:hyperlink r:id="rId11" w:history="1">
        <w:r w:rsidR="008F1409" w:rsidRPr="008F1409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eastAsia="en-GB"/>
            <w14:ligatures w14:val="none"/>
          </w:rPr>
          <w:t>Reporting Services</w:t>
        </w:r>
      </w:hyperlink>
    </w:p>
    <w:p w14:paraId="56B31CC8" w14:textId="77777777" w:rsidR="008F1409" w:rsidRPr="008F1409" w:rsidRDefault="008F1409" w:rsidP="008F1409">
      <w:pPr>
        <w:rPr>
          <w:rFonts w:asciiTheme="minorBidi" w:hAnsiTheme="minorBidi" w:cstheme="minorBidi"/>
          <w:sz w:val="24"/>
          <w:szCs w:val="24"/>
          <w:lang w:eastAsia="en-GB"/>
          <w14:ligatures w14:val="none"/>
        </w:rPr>
      </w:pPr>
      <w:r w:rsidRPr="008F1409">
        <w:rPr>
          <w:rFonts w:asciiTheme="minorBidi" w:hAnsiTheme="minorBidi" w:cstheme="minorBidi"/>
          <w:sz w:val="24"/>
          <w:szCs w:val="24"/>
          <w:lang w:eastAsia="en-GB"/>
          <w14:ligatures w14:val="none"/>
        </w:rPr>
        <w:t>35+ Years of Trust | 650 Employees Globally | 480 Supply Chain Partners Globally | 20,000+ Assignees Handled Annually</w:t>
      </w:r>
    </w:p>
    <w:p w14:paraId="276B3C23" w14:textId="77777777" w:rsidR="008F1409" w:rsidRPr="008F1409" w:rsidRDefault="008F1409" w:rsidP="006D4895">
      <w:pPr>
        <w:rPr>
          <w:rFonts w:asciiTheme="minorBidi" w:hAnsiTheme="minorBidi" w:cstheme="minorBidi"/>
          <w:b/>
          <w:bCs/>
          <w:sz w:val="24"/>
          <w:szCs w:val="24"/>
          <w:lang w:eastAsia="zh-TW"/>
          <w14:ligatures w14:val="none"/>
        </w:rPr>
      </w:pPr>
    </w:p>
    <w:p w14:paraId="1B22549D" w14:textId="77777777" w:rsidR="00302D1C" w:rsidRPr="008F1409" w:rsidRDefault="00302D1C">
      <w:pPr>
        <w:rPr>
          <w:rFonts w:asciiTheme="minorBidi" w:hAnsiTheme="minorBidi" w:cstheme="minorBidi"/>
          <w:sz w:val="24"/>
          <w:szCs w:val="24"/>
          <w:lang w:val="en-US"/>
        </w:rPr>
      </w:pPr>
    </w:p>
    <w:sectPr w:rsidR="00302D1C" w:rsidRPr="008F1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95"/>
    <w:rsid w:val="0005040C"/>
    <w:rsid w:val="00111322"/>
    <w:rsid w:val="001D6152"/>
    <w:rsid w:val="002C5DB8"/>
    <w:rsid w:val="00302D1C"/>
    <w:rsid w:val="00320F38"/>
    <w:rsid w:val="004C092E"/>
    <w:rsid w:val="005C0F59"/>
    <w:rsid w:val="006D4895"/>
    <w:rsid w:val="008F1409"/>
    <w:rsid w:val="00AE0705"/>
    <w:rsid w:val="00C3608C"/>
    <w:rsid w:val="00D203B0"/>
    <w:rsid w:val="00E32273"/>
    <w:rsid w:val="00EE44D7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EC86"/>
  <w15:chartTrackingRefBased/>
  <w15:docId w15:val="{66988BF0-94FB-4A14-9388-9ABDE18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9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4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rinternational.com/services/expense-manage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trinternational.com/services/pre-assignment-servic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trinternational.com/services/consulting-services" TargetMode="External"/><Relationship Id="rId11" Type="http://schemas.openxmlformats.org/officeDocument/2006/relationships/hyperlink" Target="https://www.btrinternational.com/services/reporting-services" TargetMode="External"/><Relationship Id="rId5" Type="http://schemas.openxmlformats.org/officeDocument/2006/relationships/image" Target="cid:image001.jpg@01DA4542.77491FD0" TargetMode="External"/><Relationship Id="rId10" Type="http://schemas.openxmlformats.org/officeDocument/2006/relationships/hyperlink" Target="https://www.btrinternational.com/services/destination-servic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trinternational.com/services/move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Brewin</dc:creator>
  <cp:keywords/>
  <dc:description/>
  <cp:lastModifiedBy>Miranda Blok</cp:lastModifiedBy>
  <cp:revision>12</cp:revision>
  <dcterms:created xsi:type="dcterms:W3CDTF">2024-01-12T11:52:00Z</dcterms:created>
  <dcterms:modified xsi:type="dcterms:W3CDTF">2024-01-15T13:36:00Z</dcterms:modified>
</cp:coreProperties>
</file>