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58" w:rsidRDefault="00D10D58" w:rsidP="00D10D58">
      <w:pPr>
        <w:rPr>
          <w:i/>
          <w:color w:val="404040"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1291AFD" wp14:editId="60FD2976">
            <wp:simplePos x="0" y="0"/>
            <wp:positionH relativeFrom="margin">
              <wp:posOffset>5143500</wp:posOffset>
            </wp:positionH>
            <wp:positionV relativeFrom="topMargin">
              <wp:align>bottom</wp:align>
            </wp:positionV>
            <wp:extent cx="1362075" cy="657225"/>
            <wp:effectExtent l="0" t="0" r="9525" b="9525"/>
            <wp:wrapNone/>
            <wp:docPr id="1" name="image1.jpeg" descr="Namma Ca_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</w:t>
      </w:r>
    </w:p>
    <w:p w:rsidR="00D10D58" w:rsidRPr="00D10D58" w:rsidRDefault="00D10D58" w:rsidP="00D10D58">
      <w:pPr>
        <w:pStyle w:val="section1"/>
        <w:spacing w:before="0" w:beforeAutospacing="0" w:after="0" w:afterAutospacing="0"/>
        <w:ind w:left="720"/>
        <w:rPr>
          <w:i/>
          <w:color w:val="404040"/>
          <w:sz w:val="20"/>
          <w:u w:val="single"/>
        </w:rPr>
      </w:pPr>
      <w:r w:rsidRPr="00D10D58">
        <w:rPr>
          <w:rFonts w:ascii="Arial"/>
          <w:i/>
          <w:color w:val="FF0000"/>
          <w:w w:val="110"/>
          <w:sz w:val="25"/>
          <w:u w:val="single"/>
        </w:rPr>
        <w:t>GENERAL</w:t>
      </w:r>
      <w:r w:rsidRPr="00D10D58">
        <w:rPr>
          <w:rFonts w:ascii="Arial"/>
          <w:i/>
          <w:color w:val="FF0000"/>
          <w:spacing w:val="-16"/>
          <w:w w:val="110"/>
          <w:sz w:val="25"/>
          <w:u w:val="single"/>
        </w:rPr>
        <w:t xml:space="preserve"> </w:t>
      </w:r>
      <w:r w:rsidRPr="00D10D58">
        <w:rPr>
          <w:rFonts w:ascii="Arial"/>
          <w:i/>
          <w:color w:val="FF0000"/>
          <w:w w:val="110"/>
          <w:sz w:val="25"/>
          <w:u w:val="single"/>
        </w:rPr>
        <w:t>TERM'S</w:t>
      </w:r>
      <w:r w:rsidRPr="00D10D58">
        <w:rPr>
          <w:rFonts w:ascii="Arial"/>
          <w:i/>
          <w:color w:val="FF0000"/>
          <w:spacing w:val="-16"/>
          <w:w w:val="110"/>
          <w:sz w:val="25"/>
          <w:u w:val="single"/>
        </w:rPr>
        <w:t xml:space="preserve"> </w:t>
      </w:r>
      <w:r w:rsidRPr="00D10D58">
        <w:rPr>
          <w:rFonts w:ascii="Arial"/>
          <w:i/>
          <w:color w:val="FF0000"/>
          <w:w w:val="110"/>
          <w:sz w:val="25"/>
          <w:u w:val="single"/>
        </w:rPr>
        <w:t>AND</w:t>
      </w:r>
      <w:r w:rsidRPr="00D10D58">
        <w:rPr>
          <w:rFonts w:ascii="Arial"/>
          <w:i/>
          <w:color w:val="FF0000"/>
          <w:spacing w:val="-17"/>
          <w:w w:val="110"/>
          <w:sz w:val="25"/>
          <w:u w:val="single"/>
        </w:rPr>
        <w:t xml:space="preserve"> </w:t>
      </w:r>
      <w:r w:rsidRPr="00D10D58">
        <w:rPr>
          <w:rFonts w:ascii="Arial"/>
          <w:i/>
          <w:color w:val="FF0000"/>
          <w:w w:val="110"/>
          <w:sz w:val="25"/>
          <w:u w:val="single"/>
        </w:rPr>
        <w:t>CONDITION'S</w:t>
      </w:r>
    </w:p>
    <w:p w:rsidR="00D10D58" w:rsidRDefault="00D10D58" w:rsidP="00D10D58">
      <w:pPr>
        <w:pStyle w:val="section1"/>
        <w:spacing w:before="0" w:beforeAutospacing="0" w:after="0" w:afterAutospacing="0"/>
        <w:ind w:left="720"/>
        <w:rPr>
          <w:i/>
          <w:color w:val="404040"/>
          <w:sz w:val="20"/>
        </w:rPr>
      </w:pP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 xml:space="preserve">All charges quoted in USD 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>Insurance is not covered at any stage in our price and Namma Cargo will not</w:t>
      </w:r>
      <w:r>
        <w:rPr>
          <w:i/>
          <w:color w:val="404040"/>
          <w:sz w:val="20"/>
        </w:rPr>
        <w:t xml:space="preserve"> be</w:t>
      </w:r>
      <w:r w:rsidRPr="008555AB">
        <w:rPr>
          <w:i/>
          <w:color w:val="404040"/>
          <w:sz w:val="20"/>
        </w:rPr>
        <w:t xml:space="preserve"> liable for any claims or damages.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F</w:t>
      </w:r>
      <w:r>
        <w:rPr>
          <w:i/>
          <w:color w:val="404040"/>
          <w:sz w:val="20"/>
        </w:rPr>
        <w:t>reight charges excluded from quote.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 xml:space="preserve">Local VAT charges @ 15% would apply for all storages, Cartage to / </w:t>
      </w:r>
      <w:proofErr w:type="gramStart"/>
      <w:r w:rsidRPr="008555AB">
        <w:rPr>
          <w:i/>
          <w:color w:val="404040"/>
          <w:sz w:val="20"/>
        </w:rPr>
        <w:t>from  Storage</w:t>
      </w:r>
      <w:proofErr w:type="gramEnd"/>
      <w:r w:rsidRPr="008555AB">
        <w:rPr>
          <w:i/>
          <w:color w:val="404040"/>
          <w:sz w:val="20"/>
        </w:rPr>
        <w:t>, accessorial services or any other origin services not part of export.  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 xml:space="preserve">The rate quoted here </w:t>
      </w:r>
      <w:proofErr w:type="gramStart"/>
      <w:r w:rsidRPr="008555AB">
        <w:rPr>
          <w:i/>
          <w:color w:val="404040"/>
          <w:sz w:val="20"/>
        </w:rPr>
        <w:t>are  valid</w:t>
      </w:r>
      <w:proofErr w:type="gramEnd"/>
      <w:r w:rsidRPr="008555AB">
        <w:rPr>
          <w:i/>
          <w:color w:val="404040"/>
          <w:sz w:val="20"/>
        </w:rPr>
        <w:t xml:space="preserve"> till 31 December-2022.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>Quoted charges are applicable for per/effects and HHG only and not applicable for private car/motor bike, diplomatic cargo or any other special commodity.</w:t>
      </w:r>
    </w:p>
    <w:p w:rsidR="00D10D58" w:rsidRPr="008555AB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555AB">
        <w:rPr>
          <w:i/>
          <w:color w:val="404040"/>
          <w:sz w:val="20"/>
        </w:rPr>
        <w:t xml:space="preserve">30 </w:t>
      </w:r>
      <w:proofErr w:type="gramStart"/>
      <w:r w:rsidRPr="008555AB">
        <w:rPr>
          <w:i/>
          <w:color w:val="404040"/>
          <w:sz w:val="20"/>
        </w:rPr>
        <w:t>days</w:t>
      </w:r>
      <w:proofErr w:type="gramEnd"/>
      <w:r w:rsidRPr="008555AB">
        <w:rPr>
          <w:i/>
          <w:color w:val="404040"/>
          <w:sz w:val="20"/>
        </w:rPr>
        <w:t xml:space="preserve"> credit for FIDI/OMNI members, all other parties, agents, forwarders, movers to transfer the payment to our account prior to forward the shipment.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050D97">
        <w:rPr>
          <w:i/>
          <w:color w:val="404040"/>
          <w:sz w:val="20"/>
        </w:rPr>
        <w:t>Based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on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existing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customs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rules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regulations,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wood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packaging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materials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to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be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the International Plant Protection Standard with IPPC logo.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Please ensure the wooden packaging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material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used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for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pallets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in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compliance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with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IPPC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standard</w:t>
      </w:r>
      <w:r>
        <w:rPr>
          <w:i/>
          <w:color w:val="404040"/>
          <w:sz w:val="20"/>
        </w:rPr>
        <w:t xml:space="preserve"> 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 xml:space="preserve"> Shipper/consignee has to arrange Blanket Insurance Coverage prior to loading until final destination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including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offloading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cargo,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transport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equipment,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crew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third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party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liability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from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risks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include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Namma and its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sub-contractor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 xml:space="preserve">Co-Insurer      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Above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applicable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for</w:t>
      </w:r>
      <w:r w:rsidRPr="008D73E6">
        <w:rPr>
          <w:i/>
          <w:color w:val="404040"/>
          <w:sz w:val="20"/>
        </w:rPr>
        <w:t xml:space="preserve"> </w:t>
      </w:r>
      <w:proofErr w:type="spellStart"/>
      <w:r>
        <w:rPr>
          <w:i/>
          <w:color w:val="404040"/>
          <w:sz w:val="20"/>
        </w:rPr>
        <w:t>non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hazardous</w:t>
      </w:r>
      <w:proofErr w:type="spellEnd"/>
      <w:r>
        <w:rPr>
          <w:i/>
          <w:color w:val="404040"/>
          <w:sz w:val="20"/>
        </w:rPr>
        <w:t>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normal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size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general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cargo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shipments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Maximum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cargo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weight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allowed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for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container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line’s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restrictions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Space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confirmation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subject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to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carrier's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availability,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acceptance,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frequency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connectivity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current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exchange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rate.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Will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calculated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exchange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time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service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General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increases if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applicable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time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shipment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Surcharges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added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our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quote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but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current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rates.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revision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surcharges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will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revise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our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offer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Other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surcharges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additional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will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billed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back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actual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Surcharges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are</w:t>
      </w:r>
      <w:r w:rsidRPr="008D73E6">
        <w:rPr>
          <w:i/>
          <w:color w:val="404040"/>
          <w:sz w:val="20"/>
        </w:rPr>
        <w:t xml:space="preserve"> </w:t>
      </w:r>
      <w:proofErr w:type="gramStart"/>
      <w:r>
        <w:rPr>
          <w:i/>
          <w:color w:val="404040"/>
          <w:sz w:val="20"/>
        </w:rPr>
        <w:t>vary</w:t>
      </w:r>
      <w:proofErr w:type="gramEnd"/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from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time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to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time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will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calculated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actual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valid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time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service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If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not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mentioned,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other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(Surcharges,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BL,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Port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Fee,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Governmental,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Additional</w:t>
      </w:r>
      <w:r w:rsidRPr="008D73E6">
        <w:rPr>
          <w:i/>
          <w:color w:val="404040"/>
          <w:sz w:val="20"/>
        </w:rPr>
        <w:t xml:space="preserve"> </w:t>
      </w:r>
      <w:proofErr w:type="spellStart"/>
      <w:r>
        <w:rPr>
          <w:i/>
          <w:color w:val="404040"/>
          <w:sz w:val="20"/>
        </w:rPr>
        <w:t>etc</w:t>
      </w:r>
      <w:proofErr w:type="spellEnd"/>
      <w:r>
        <w:rPr>
          <w:i/>
          <w:color w:val="404040"/>
          <w:sz w:val="20"/>
        </w:rPr>
        <w:t>)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actual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Port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Dues,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Receiving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/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Delivery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charges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both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ends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on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shipper/consignee</w:t>
      </w:r>
      <w:r>
        <w:rPr>
          <w:i/>
          <w:color w:val="404040"/>
          <w:sz w:val="20"/>
        </w:rPr>
        <w:t>’</w:t>
      </w:r>
      <w:r>
        <w:rPr>
          <w:i/>
          <w:color w:val="404040"/>
          <w:sz w:val="20"/>
        </w:rPr>
        <w:t>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account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050D97"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above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quote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is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based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on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today's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rates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/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tariffs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/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surcharges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and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political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situations.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Subject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to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change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with or</w:t>
      </w:r>
      <w:r w:rsidRPr="008D73E6">
        <w:rPr>
          <w:i/>
          <w:color w:val="404040"/>
          <w:sz w:val="20"/>
        </w:rPr>
        <w:t xml:space="preserve"> </w:t>
      </w:r>
      <w:r w:rsidRPr="00050D97">
        <w:rPr>
          <w:i/>
          <w:color w:val="404040"/>
          <w:sz w:val="20"/>
        </w:rPr>
        <w:t>without notice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 xml:space="preserve">Rate indicated includes: </w:t>
      </w:r>
      <w:r w:rsidRPr="00C61CFA">
        <w:rPr>
          <w:i/>
          <w:color w:val="404040"/>
          <w:sz w:val="20"/>
        </w:rPr>
        <w:t>Providing of professional operations crew and all packing-wrapping materials according to “International</w:t>
      </w:r>
      <w:r w:rsidRPr="008555AB">
        <w:rPr>
          <w:i/>
          <w:color w:val="404040"/>
          <w:sz w:val="20"/>
        </w:rPr>
        <w:t xml:space="preserve"> standards”</w:t>
      </w:r>
      <w:r>
        <w:rPr>
          <w:i/>
          <w:color w:val="404040"/>
          <w:sz w:val="20"/>
        </w:rPr>
        <w:t xml:space="preserve">, </w:t>
      </w:r>
      <w:r w:rsidRPr="008D73E6">
        <w:rPr>
          <w:i/>
          <w:color w:val="404040"/>
          <w:sz w:val="20"/>
        </w:rPr>
        <w:t xml:space="preserve">Preparation of detailed shipping inventory list in English, Direct loading of the HHGS into container from the residence, </w:t>
      </w:r>
      <w:proofErr w:type="gramStart"/>
      <w:r w:rsidRPr="008D73E6">
        <w:rPr>
          <w:i/>
          <w:color w:val="404040"/>
          <w:sz w:val="20"/>
        </w:rPr>
        <w:t>Export  Customs</w:t>
      </w:r>
      <w:proofErr w:type="gramEnd"/>
      <w:r w:rsidRPr="008D73E6">
        <w:rPr>
          <w:i/>
          <w:color w:val="404040"/>
          <w:sz w:val="20"/>
        </w:rPr>
        <w:t xml:space="preserve"> clearance  service charges.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D73E6">
        <w:rPr>
          <w:i/>
          <w:color w:val="404040"/>
          <w:sz w:val="20"/>
        </w:rPr>
        <w:t>Rate indicated excludes:  VAT/ TAX if any, Insurance and related services</w:t>
      </w:r>
      <w:r>
        <w:rPr>
          <w:i/>
          <w:color w:val="404040"/>
          <w:sz w:val="20"/>
        </w:rPr>
        <w:t>,</w:t>
      </w:r>
      <w:bookmarkStart w:id="0" w:name="_GoBack"/>
      <w:bookmarkEnd w:id="0"/>
      <w:r w:rsidRPr="008D73E6">
        <w:rPr>
          <w:i/>
          <w:color w:val="404040"/>
          <w:sz w:val="20"/>
        </w:rPr>
        <w:t>,Inspection/x-ray scanning, other official related charges if any, freight charges, shuttle services  etc..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 w:rsidRPr="008D73E6">
        <w:rPr>
          <w:i/>
          <w:color w:val="404040"/>
          <w:sz w:val="20"/>
        </w:rPr>
        <w:t xml:space="preserve">Additional charges   upon request on case by case </w:t>
      </w:r>
      <w:proofErr w:type="gramStart"/>
      <w:r w:rsidRPr="008D73E6">
        <w:rPr>
          <w:i/>
          <w:color w:val="404040"/>
          <w:sz w:val="20"/>
        </w:rPr>
        <w:t>basis :</w:t>
      </w:r>
      <w:proofErr w:type="gramEnd"/>
      <w:r w:rsidRPr="008D73E6">
        <w:rPr>
          <w:i/>
          <w:color w:val="404040"/>
          <w:sz w:val="20"/>
        </w:rPr>
        <w:t xml:space="preserve"> Shuttle services, Handling Piano, Storage services, Crating and special packing if required, Special handling if requested.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We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reserve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right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to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revise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the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offer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Quote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not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applicable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for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part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shipments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or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LCL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services</w:t>
      </w:r>
    </w:p>
    <w:p w:rsidR="00D10D58" w:rsidRPr="008D73E6" w:rsidRDefault="00D10D58" w:rsidP="00D10D58">
      <w:pPr>
        <w:pStyle w:val="section1"/>
        <w:numPr>
          <w:ilvl w:val="0"/>
          <w:numId w:val="1"/>
        </w:numPr>
        <w:spacing w:before="0" w:beforeAutospacing="0" w:after="0" w:afterAutospacing="0"/>
        <w:rPr>
          <w:i/>
          <w:color w:val="404040"/>
          <w:sz w:val="20"/>
        </w:rPr>
      </w:pPr>
      <w:r>
        <w:rPr>
          <w:i/>
          <w:color w:val="404040"/>
          <w:sz w:val="20"/>
        </w:rPr>
        <w:t>Any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additional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cost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incurred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will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be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billed</w:t>
      </w:r>
      <w:r w:rsidRPr="008D73E6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>back</w:t>
      </w:r>
    </w:p>
    <w:p w:rsidR="00D10D58" w:rsidRPr="00D10D58" w:rsidRDefault="00D10D58" w:rsidP="001628B8">
      <w:pPr>
        <w:pStyle w:val="section1"/>
        <w:numPr>
          <w:ilvl w:val="0"/>
          <w:numId w:val="1"/>
        </w:numPr>
        <w:spacing w:before="0" w:beforeAutospacing="0" w:after="0" w:afterAutospacing="0"/>
      </w:pPr>
      <w:r w:rsidRPr="00D10D58">
        <w:rPr>
          <w:i/>
          <w:color w:val="404040"/>
          <w:sz w:val="20"/>
        </w:rPr>
        <w:t>Documents required for export clearance must be provided by shipper</w:t>
      </w:r>
    </w:p>
    <w:p w:rsidR="00870D76" w:rsidRDefault="00D10D58" w:rsidP="001628B8">
      <w:pPr>
        <w:pStyle w:val="section1"/>
        <w:numPr>
          <w:ilvl w:val="0"/>
          <w:numId w:val="1"/>
        </w:numPr>
        <w:spacing w:before="0" w:beforeAutospacing="0" w:after="0" w:afterAutospacing="0"/>
      </w:pPr>
      <w:r w:rsidRPr="00D10D58">
        <w:rPr>
          <w:i/>
          <w:color w:val="404040"/>
          <w:sz w:val="20"/>
        </w:rPr>
        <w:t>E. &amp; O. E</w:t>
      </w:r>
    </w:p>
    <w:sectPr w:rsidR="0087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7FCB"/>
    <w:multiLevelType w:val="hybridMultilevel"/>
    <w:tmpl w:val="DDA0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8"/>
    <w:rsid w:val="00870D76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76A0"/>
  <w15:chartTrackingRefBased/>
  <w15:docId w15:val="{CE179B75-CEC1-46BE-A4D5-C89344A0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0D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  <w:uiPriority w:val="99"/>
    <w:rsid w:val="00D10D5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58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 Kumar</dc:creator>
  <cp:keywords/>
  <dc:description/>
  <cp:lastModifiedBy>Gopa Kumar</cp:lastModifiedBy>
  <cp:revision>1</cp:revision>
  <cp:lastPrinted>2022-04-10T13:24:00Z</cp:lastPrinted>
  <dcterms:created xsi:type="dcterms:W3CDTF">2022-04-10T13:22:00Z</dcterms:created>
  <dcterms:modified xsi:type="dcterms:W3CDTF">2022-04-10T13:30:00Z</dcterms:modified>
</cp:coreProperties>
</file>