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2F5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Theme="majorAscii" w:hAnsiTheme="majorAscii"/>
          <w:b/>
          <w:bCs/>
          <w:color w:val="002060"/>
          <w:sz w:val="36"/>
          <w:szCs w:val="36"/>
          <w:lang w:val="en-US"/>
        </w:rPr>
      </w:pPr>
      <w:r>
        <w:rPr>
          <w:rFonts w:hint="default" w:asciiTheme="majorAscii" w:hAnsiTheme="majorAscii"/>
          <w:b/>
          <w:bCs/>
          <w:color w:val="002060"/>
          <w:sz w:val="36"/>
          <w:szCs w:val="36"/>
          <w:lang w:val="en-US"/>
        </w:rPr>
        <w:t>INCLUSIONS - EXCLUSIONS - ACCESSORIAL CHARGES</w:t>
      </w:r>
    </w:p>
    <w:p w14:paraId="7C3AC6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Theme="majorAscii" w:hAnsiTheme="majorAscii"/>
          <w:b/>
          <w:bCs/>
          <w:color w:val="002060"/>
          <w:sz w:val="36"/>
          <w:szCs w:val="36"/>
          <w:lang w:val="en-US"/>
        </w:rPr>
      </w:pPr>
      <w:r>
        <w:rPr>
          <w:rFonts w:hint="default" w:asciiTheme="majorAscii" w:hAnsiTheme="majorAscii"/>
          <w:b/>
          <w:bCs/>
          <w:color w:val="002060"/>
          <w:sz w:val="36"/>
          <w:szCs w:val="36"/>
          <w:lang w:val="en-US"/>
        </w:rPr>
        <w:t>(IMPORT)</w:t>
      </w:r>
    </w:p>
    <w:p w14:paraId="51B337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</w:p>
    <w:p w14:paraId="79F774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</w:p>
    <w:p w14:paraId="69E2C15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sz w:val="24"/>
          <w:szCs w:val="24"/>
          <w:u w:val="single"/>
        </w:rPr>
      </w:pPr>
      <w:r>
        <w:rPr>
          <w:rFonts w:hint="default"/>
          <w:b/>
          <w:bCs/>
          <w:sz w:val="24"/>
          <w:szCs w:val="24"/>
          <w:u w:val="single"/>
        </w:rPr>
        <w:t>INCLUSIONS</w:t>
      </w:r>
    </w:p>
    <w:p w14:paraId="655E190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</w:rPr>
        <w:t>VAT</w:t>
      </w:r>
    </w:p>
    <w:p w14:paraId="2AA4C6A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</w:rPr>
        <w:t>Customs clearance at ICD (PL3/ Transimex/ VICT)</w:t>
      </w:r>
    </w:p>
    <w:p w14:paraId="09FECB5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</w:rPr>
        <w:t>Pick up from port/airport to the warehouse</w:t>
      </w:r>
    </w:p>
    <w:p w14:paraId="77ECDF9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</w:rPr>
        <w:t>Warehouse free storage maximum 14 days</w:t>
      </w:r>
    </w:p>
    <w:p w14:paraId="4428C47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</w:rPr>
        <w:t>Delivery from the warehouse to residence in HCMC, normal access (exclude: Củ Chi, Cần Giờ District)</w:t>
      </w:r>
    </w:p>
    <w:p w14:paraId="0F8B9B1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</w:rPr>
        <w:t>Unpacking, positioning, setting up simple furniture</w:t>
      </w:r>
    </w:p>
    <w:p w14:paraId="713D83E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  <w:lang w:val="en-US"/>
        </w:rPr>
        <w:t>R</w:t>
      </w:r>
      <w:r>
        <w:rPr>
          <w:rFonts w:hint="default"/>
        </w:rPr>
        <w:t>emoval debris same day of delivery</w:t>
      </w:r>
    </w:p>
    <w:p w14:paraId="644C14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/>
          <w:bCs/>
        </w:rPr>
      </w:pPr>
    </w:p>
    <w:p w14:paraId="31B2D07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/>
          <w:b/>
          <w:bCs/>
          <w:sz w:val="24"/>
          <w:szCs w:val="24"/>
          <w:u w:val="single"/>
        </w:rPr>
      </w:pPr>
      <w:r>
        <w:rPr>
          <w:rFonts w:hint="default"/>
          <w:b/>
          <w:bCs/>
          <w:sz w:val="24"/>
          <w:szCs w:val="24"/>
          <w:u w:val="single"/>
        </w:rPr>
        <w:t>EXCLUSIONS</w:t>
      </w:r>
    </w:p>
    <w:p w14:paraId="2D349C2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</w:rPr>
        <w:t>Port charge, Local charge, DO, THC… bill at cost</w:t>
      </w:r>
    </w:p>
    <w:p w14:paraId="360DB92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</w:rPr>
        <w:t>Import tax/duty</w:t>
      </w:r>
    </w:p>
    <w:p w14:paraId="7A23C37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</w:rPr>
        <w:t>Port/ airport demurrage &amp; detention</w:t>
      </w:r>
    </w:p>
    <w:p w14:paraId="440CBC7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</w:rPr>
        <w:t>Difficult access, basement fee, shuttle service, parking fee</w:t>
      </w:r>
    </w:p>
    <w:p w14:paraId="0F5801B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</w:rPr>
        <w:t>Weekend/ holiday unpacking/ overtime</w:t>
      </w:r>
    </w:p>
    <w:p w14:paraId="5D9687A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</w:rPr>
        <w:t>Handyman service, heavy items</w:t>
      </w:r>
    </w:p>
    <w:p w14:paraId="00F683D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</w:rPr>
        <w:t>Counting each item</w:t>
      </w:r>
    </w:p>
    <w:p w14:paraId="20BD227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</w:rPr>
        <w:t xml:space="preserve">Any </w:t>
      </w:r>
      <w:r>
        <w:rPr>
          <w:rFonts w:hint="default"/>
          <w:lang w:val="en-US"/>
        </w:rPr>
        <w:t>special</w:t>
      </w:r>
      <w:r>
        <w:rPr>
          <w:rFonts w:hint="default"/>
        </w:rPr>
        <w:t xml:space="preserve"> requirements</w:t>
      </w:r>
    </w:p>
    <w:p w14:paraId="39DCD80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</w:rPr>
        <w:t>Accessorial charges</w:t>
      </w:r>
      <w:r>
        <w:rPr>
          <w:rFonts w:hint="default"/>
          <w:lang w:val="en-US"/>
        </w:rPr>
        <w:t xml:space="preserve"> </w:t>
      </w:r>
      <w:r>
        <w:rPr>
          <w:rFonts w:hint="default"/>
          <w:i/>
          <w:iCs/>
          <w:lang w:val="en-US"/>
        </w:rPr>
        <w:t>(see the list)</w:t>
      </w:r>
    </w:p>
    <w:p w14:paraId="3483151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  <w:i w:val="0"/>
          <w:iCs w:val="0"/>
        </w:rPr>
      </w:pPr>
      <w:r>
        <w:rPr>
          <w:rFonts w:hint="default"/>
          <w:i w:val="0"/>
          <w:iCs w:val="0"/>
          <w:lang w:val="en-US"/>
        </w:rPr>
        <w:t>Bank charge of US$40.00</w:t>
      </w:r>
      <w:bookmarkStart w:id="0" w:name="_GoBack"/>
      <w:bookmarkEnd w:id="0"/>
    </w:p>
    <w:p w14:paraId="134AE4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/>
          <w:bCs/>
        </w:rPr>
      </w:pPr>
    </w:p>
    <w:p w14:paraId="2B58F9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 xml:space="preserve">ESTIMATED LOCAL CHARGES &amp; PORT CHARGES </w:t>
      </w:r>
    </w:p>
    <w:p w14:paraId="2A4F45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/>
          <w:bCs/>
          <w:i w:val="0"/>
          <w:iCs w:val="0"/>
          <w:u w:val="single"/>
          <w:lang w:val="en-US"/>
        </w:rPr>
      </w:pPr>
      <w:r>
        <w:rPr>
          <w:rFonts w:hint="default"/>
          <w:b/>
          <w:bCs/>
          <w:i w:val="0"/>
          <w:iCs w:val="0"/>
          <w:u w:val="single"/>
        </w:rPr>
        <w:t>Local charges</w:t>
      </w:r>
      <w:r>
        <w:rPr>
          <w:rFonts w:hint="default"/>
          <w:b w:val="0"/>
          <w:bCs w:val="0"/>
          <w:i/>
          <w:iCs/>
          <w:u w:val="none"/>
          <w:lang w:val="en-US"/>
        </w:rPr>
        <w:t xml:space="preserve"> (you can consider to prepay at Origin if possible)</w:t>
      </w:r>
    </w:p>
    <w:p w14:paraId="48B8366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  <w:lang w:val="en-US"/>
        </w:rPr>
      </w:pPr>
      <w:r>
        <w:rPr>
          <w:rFonts w:hint="default"/>
          <w:lang w:val="en-US"/>
        </w:rPr>
        <w:t xml:space="preserve">LCL shipments: 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US$60.00 - US$80.00 per cbm</w:t>
      </w:r>
    </w:p>
    <w:p w14:paraId="2CE7160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  <w:lang w:val="en-US"/>
        </w:rPr>
      </w:pPr>
      <w:r>
        <w:rPr>
          <w:rFonts w:hint="default"/>
          <w:lang w:val="en-US"/>
        </w:rPr>
        <w:t xml:space="preserve">FCL 1x20’ container: 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US$350.00 - US$450.00 per container</w:t>
      </w:r>
    </w:p>
    <w:p w14:paraId="00B4927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  <w:lang w:val="en-US"/>
        </w:rPr>
      </w:pPr>
      <w:r>
        <w:rPr>
          <w:rFonts w:hint="default"/>
          <w:lang w:val="en-US"/>
        </w:rPr>
        <w:t xml:space="preserve">FCL 1x40’ container: 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US$450.00 - US$550.00 per container</w:t>
      </w:r>
    </w:p>
    <w:p w14:paraId="4C4EEC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lang w:val="en-US"/>
        </w:rPr>
      </w:pPr>
    </w:p>
    <w:p w14:paraId="0805F7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/>
          <w:bCs/>
          <w:u w:val="single"/>
          <w:lang w:val="en-US"/>
        </w:rPr>
      </w:pPr>
      <w:r>
        <w:rPr>
          <w:rFonts w:hint="default"/>
          <w:b/>
          <w:bCs/>
          <w:u w:val="single"/>
          <w:lang w:val="en-US"/>
        </w:rPr>
        <w:t>Port charges:</w:t>
      </w:r>
    </w:p>
    <w:p w14:paraId="0F7AA31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  <w:lang w:val="en-US"/>
        </w:rPr>
      </w:pPr>
      <w:r>
        <w:rPr>
          <w:rFonts w:hint="default"/>
          <w:lang w:val="en-US"/>
        </w:rPr>
        <w:t xml:space="preserve">Air shipment: 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US$0.2 per acw kgs</w:t>
      </w:r>
    </w:p>
    <w:p w14:paraId="1778388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  <w:lang w:val="en-US"/>
        </w:rPr>
      </w:pPr>
      <w:r>
        <w:rPr>
          <w:rFonts w:hint="default"/>
          <w:lang w:val="en-US"/>
        </w:rPr>
        <w:t xml:space="preserve">LCL shipments: 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US$5.00 per cbm</w:t>
      </w:r>
    </w:p>
    <w:p w14:paraId="01748BF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  <w:lang w:val="en-US"/>
        </w:rPr>
      </w:pPr>
      <w:r>
        <w:rPr>
          <w:rFonts w:hint="default"/>
          <w:lang w:val="en-US"/>
        </w:rPr>
        <w:t xml:space="preserve">FCL 1x20’ container: 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US$100.00 - US$120.00 per container</w:t>
      </w:r>
    </w:p>
    <w:p w14:paraId="3ACB872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  <w:lang w:val="en-US"/>
        </w:rPr>
      </w:pPr>
      <w:r>
        <w:rPr>
          <w:rFonts w:hint="default"/>
          <w:lang w:val="en-US"/>
        </w:rPr>
        <w:t xml:space="preserve">FCL 1x40’ container: 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US$120.00 - US$150.00 per container</w:t>
      </w:r>
    </w:p>
    <w:p w14:paraId="54E275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sz w:val="24"/>
          <w:szCs w:val="24"/>
        </w:rPr>
      </w:pPr>
    </w:p>
    <w:p w14:paraId="6D5630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sz w:val="24"/>
          <w:szCs w:val="24"/>
        </w:rPr>
      </w:pPr>
    </w:p>
    <w:p w14:paraId="56365E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sz w:val="24"/>
          <w:szCs w:val="24"/>
        </w:rPr>
      </w:pPr>
    </w:p>
    <w:p w14:paraId="639B37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sz w:val="24"/>
          <w:szCs w:val="24"/>
        </w:rPr>
      </w:pPr>
    </w:p>
    <w:p w14:paraId="7081C7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/>
          <w:bCs/>
          <w:sz w:val="24"/>
          <w:szCs w:val="24"/>
          <w:lang w:val="en-US"/>
        </w:rPr>
      </w:pPr>
    </w:p>
    <w:p w14:paraId="002EA00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/>
          <w:b/>
          <w:bCs/>
          <w:sz w:val="24"/>
          <w:szCs w:val="24"/>
          <w:u w:val="single"/>
          <w:lang w:val="en-US"/>
        </w:rPr>
      </w:pPr>
      <w:r>
        <w:rPr>
          <w:rFonts w:hint="default"/>
          <w:b/>
          <w:bCs/>
          <w:sz w:val="24"/>
          <w:szCs w:val="24"/>
          <w:u w:val="single"/>
          <w:lang w:val="en-US"/>
        </w:rPr>
        <w:t>ACCESSORIAL CHARGES</w:t>
      </w:r>
    </w:p>
    <w:tbl>
      <w:tblPr>
        <w:tblStyle w:val="13"/>
        <w:tblpPr w:leftFromText="180" w:rightFromText="180" w:vertAnchor="text" w:horzAnchor="page" w:tblpX="1094" w:tblpY="508"/>
        <w:tblOverlap w:val="never"/>
        <w:tblW w:w="10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6"/>
        <w:gridCol w:w="1216"/>
        <w:gridCol w:w="1271"/>
        <w:gridCol w:w="1681"/>
      </w:tblGrid>
      <w:tr w14:paraId="77F8A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vAlign w:val="center"/>
          </w:tcPr>
          <w:p w14:paraId="3DB92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color w:val="215968" w:themeColor="accent5" w:themeShade="8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215968" w:themeColor="accent5" w:themeShade="80"/>
                <w:sz w:val="22"/>
                <w:szCs w:val="22"/>
                <w:vertAlign w:val="baseline"/>
                <w:lang w:val="en-US"/>
              </w:rPr>
              <w:t>Services Description</w:t>
            </w:r>
          </w:p>
        </w:tc>
        <w:tc>
          <w:tcPr>
            <w:tcW w:w="1216" w:type="dxa"/>
            <w:vAlign w:val="center"/>
          </w:tcPr>
          <w:p w14:paraId="25D75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color w:val="215968" w:themeColor="accent5" w:themeShade="8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215968" w:themeColor="accent5" w:themeShade="80"/>
                <w:sz w:val="22"/>
                <w:szCs w:val="22"/>
                <w:vertAlign w:val="baseline"/>
                <w:lang w:val="en-US"/>
              </w:rPr>
              <w:t>Unit</w:t>
            </w:r>
          </w:p>
        </w:tc>
        <w:tc>
          <w:tcPr>
            <w:tcW w:w="1271" w:type="dxa"/>
            <w:vAlign w:val="center"/>
          </w:tcPr>
          <w:p w14:paraId="7375D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color w:val="215968" w:themeColor="accent5" w:themeShade="8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215968" w:themeColor="accent5" w:themeShade="80"/>
                <w:sz w:val="22"/>
                <w:szCs w:val="22"/>
                <w:vertAlign w:val="baseline"/>
                <w:lang w:val="en-US"/>
              </w:rPr>
              <w:t>Charge</w:t>
            </w:r>
          </w:p>
        </w:tc>
        <w:tc>
          <w:tcPr>
            <w:tcW w:w="1681" w:type="dxa"/>
            <w:vAlign w:val="center"/>
          </w:tcPr>
          <w:p w14:paraId="0F28D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color w:val="215968" w:themeColor="accent5" w:themeShade="8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215968" w:themeColor="accent5" w:themeShade="80"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 w14:paraId="4965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bottom w:val="dashSmallGap" w:color="auto" w:sz="4" w:space="0"/>
              <w:right w:val="single" w:color="auto" w:sz="4" w:space="0"/>
            </w:tcBorders>
            <w:vAlign w:val="top"/>
          </w:tcPr>
          <w:p w14:paraId="00A5D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Pick-up/ Return empty container</w:t>
            </w:r>
          </w:p>
          <w:p w14:paraId="20128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>at Port/ depot out of HCM center, double check with us in advance</w:t>
            </w:r>
          </w:p>
        </w:tc>
        <w:tc>
          <w:tcPr>
            <w:tcW w:w="1216" w:type="dxa"/>
            <w:tcBorders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1149D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Container</w:t>
            </w:r>
          </w:p>
        </w:tc>
        <w:tc>
          <w:tcPr>
            <w:tcW w:w="1271" w:type="dxa"/>
            <w:tcBorders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71010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40.00</w:t>
            </w:r>
          </w:p>
        </w:tc>
        <w:tc>
          <w:tcPr>
            <w:tcW w:w="1681" w:type="dxa"/>
            <w:tcBorders>
              <w:left w:val="single" w:color="auto" w:sz="4" w:space="0"/>
              <w:bottom w:val="dashSmallGap" w:color="auto" w:sz="4" w:space="0"/>
            </w:tcBorders>
            <w:vAlign w:val="top"/>
          </w:tcPr>
          <w:p w14:paraId="5A450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 w14:paraId="1060F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15218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Pick-up/ Return empty container</w:t>
            </w:r>
          </w:p>
          <w:p w14:paraId="08242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>Fee for change to Port/ depot in HCM center</w:t>
            </w:r>
          </w:p>
        </w:tc>
        <w:tc>
          <w:tcPr>
            <w:tcW w:w="121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34139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Container</w:t>
            </w:r>
          </w:p>
        </w:tc>
        <w:tc>
          <w:tcPr>
            <w:tcW w:w="127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5F85E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30.00</w:t>
            </w:r>
          </w:p>
        </w:tc>
        <w:tc>
          <w:tcPr>
            <w:tcW w:w="168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top"/>
          </w:tcPr>
          <w:p w14:paraId="0CC55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 w14:paraId="7F74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124" w:type="dxa"/>
            <w:gridSpan w:val="4"/>
            <w:tcBorders>
              <w:top w:val="dashSmallGap" w:color="auto" w:sz="4" w:space="0"/>
              <w:bottom w:val="dashSmallGap" w:color="auto" w:sz="4" w:space="0"/>
            </w:tcBorders>
            <w:vAlign w:val="top"/>
          </w:tcPr>
          <w:p w14:paraId="1FE06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Split deliveries</w:t>
            </w:r>
          </w:p>
        </w:tc>
      </w:tr>
      <w:tr w14:paraId="40C6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78B2A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</w:rPr>
              <w:t>Split Delivery in same day/ same client: &lt; 3cbm</w:t>
            </w:r>
          </w:p>
        </w:tc>
        <w:tc>
          <w:tcPr>
            <w:tcW w:w="1216" w:type="dxa"/>
            <w:vMerge w:val="restart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507BE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trip</w:t>
            </w:r>
          </w:p>
        </w:tc>
        <w:tc>
          <w:tcPr>
            <w:tcW w:w="127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50C58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50.00</w:t>
            </w:r>
          </w:p>
        </w:tc>
        <w:tc>
          <w:tcPr>
            <w:tcW w:w="168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top"/>
          </w:tcPr>
          <w:p w14:paraId="543B2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 w14:paraId="3939C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0948D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Split Delivery in same day/ same client: 3.1 -6cbm</w:t>
            </w:r>
          </w:p>
        </w:tc>
        <w:tc>
          <w:tcPr>
            <w:tcW w:w="1216" w:type="dxa"/>
            <w:vMerge w:val="continue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062CB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27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6EA19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90.00</w:t>
            </w:r>
          </w:p>
        </w:tc>
        <w:tc>
          <w:tcPr>
            <w:tcW w:w="168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top"/>
          </w:tcPr>
          <w:p w14:paraId="6418B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 w14:paraId="59A2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280DA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Split Delivery in same day/ same client: 6-10cbm</w:t>
            </w:r>
          </w:p>
        </w:tc>
        <w:tc>
          <w:tcPr>
            <w:tcW w:w="1216" w:type="dxa"/>
            <w:vMerge w:val="continue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1A211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27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10468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120.00</w:t>
            </w:r>
          </w:p>
        </w:tc>
        <w:tc>
          <w:tcPr>
            <w:tcW w:w="168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top"/>
          </w:tcPr>
          <w:p w14:paraId="63628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 w14:paraId="407DB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241B2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Shuttle fee</w:t>
            </w:r>
          </w:p>
        </w:tc>
        <w:tc>
          <w:tcPr>
            <w:tcW w:w="121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3E336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cbm</w:t>
            </w:r>
          </w:p>
        </w:tc>
        <w:tc>
          <w:tcPr>
            <w:tcW w:w="127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3AE9D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5.00</w:t>
            </w:r>
          </w:p>
        </w:tc>
        <w:tc>
          <w:tcPr>
            <w:tcW w:w="168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3AC8E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>Min. US$50.00</w:t>
            </w:r>
          </w:p>
        </w:tc>
      </w:tr>
      <w:tr w14:paraId="78102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7D1DC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Long carry</w:t>
            </w:r>
          </w:p>
          <w:p w14:paraId="366D3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>from truck to elevator/ client door &gt;40meters</w:t>
            </w:r>
          </w:p>
        </w:tc>
        <w:tc>
          <w:tcPr>
            <w:tcW w:w="121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22741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27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54362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5.00</w:t>
            </w:r>
          </w:p>
        </w:tc>
        <w:tc>
          <w:tcPr>
            <w:tcW w:w="168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0CFB8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>Min. US$30.00</w:t>
            </w:r>
          </w:p>
        </w:tc>
      </w:tr>
      <w:tr w14:paraId="7DD54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784F7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Stair carry</w:t>
            </w: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 xml:space="preserve"> </w:t>
            </w: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>(from the 3</w:t>
            </w:r>
            <w:r>
              <w:rPr>
                <w:rFonts w:hint="default"/>
                <w:i/>
                <w:iCs/>
                <w:sz w:val="22"/>
                <w:szCs w:val="22"/>
                <w:vertAlign w:val="superscript"/>
                <w:lang w:val="en-US"/>
              </w:rPr>
              <w:t>rd</w:t>
            </w: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 xml:space="preserve"> floor)</w:t>
            </w:r>
          </w:p>
        </w:tc>
        <w:tc>
          <w:tcPr>
            <w:tcW w:w="121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0E66B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cbm</w:t>
            </w:r>
          </w:p>
        </w:tc>
        <w:tc>
          <w:tcPr>
            <w:tcW w:w="127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068A5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5.00</w:t>
            </w:r>
          </w:p>
        </w:tc>
        <w:tc>
          <w:tcPr>
            <w:tcW w:w="168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422C9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>Min. US$30.00</w:t>
            </w:r>
          </w:p>
        </w:tc>
      </w:tr>
      <w:tr w14:paraId="36B8A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0C354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 xml:space="preserve">Handy man for hanging paintings/ Overtime </w:t>
            </w:r>
          </w:p>
        </w:tc>
        <w:tc>
          <w:tcPr>
            <w:tcW w:w="121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4B940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Hour/man</w:t>
            </w:r>
          </w:p>
        </w:tc>
        <w:tc>
          <w:tcPr>
            <w:tcW w:w="127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31A39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10.00</w:t>
            </w:r>
          </w:p>
        </w:tc>
        <w:tc>
          <w:tcPr>
            <w:tcW w:w="168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3B0A0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>Min. US$50.00</w:t>
            </w:r>
          </w:p>
        </w:tc>
      </w:tr>
      <w:tr w14:paraId="5B48E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3BD1D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Weekend</w:t>
            </w: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: Saturday, Sunday, holidays</w:t>
            </w:r>
          </w:p>
        </w:tc>
        <w:tc>
          <w:tcPr>
            <w:tcW w:w="121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5FE4E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Hour/man</w:t>
            </w:r>
          </w:p>
        </w:tc>
        <w:tc>
          <w:tcPr>
            <w:tcW w:w="127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65B8A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12.00</w:t>
            </w:r>
          </w:p>
        </w:tc>
        <w:tc>
          <w:tcPr>
            <w:tcW w:w="168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0DCCB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>Min. US$60.00</w:t>
            </w:r>
          </w:p>
        </w:tc>
      </w:tr>
      <w:tr w14:paraId="657F8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4E83D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Assembly new items; dis-/ reassembly Ikea/ difficult Furniture</w:t>
            </w:r>
          </w:p>
        </w:tc>
        <w:tc>
          <w:tcPr>
            <w:tcW w:w="121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3D218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item</w:t>
            </w:r>
          </w:p>
        </w:tc>
        <w:tc>
          <w:tcPr>
            <w:tcW w:w="127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51F80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45.00</w:t>
            </w:r>
          </w:p>
          <w:p w14:paraId="78EEB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8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top"/>
          </w:tcPr>
          <w:p w14:paraId="02704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 w14:paraId="7878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74CA3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Heavy items handling</w:t>
            </w:r>
          </w:p>
        </w:tc>
        <w:tc>
          <w:tcPr>
            <w:tcW w:w="121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72B46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item</w:t>
            </w:r>
          </w:p>
        </w:tc>
        <w:tc>
          <w:tcPr>
            <w:tcW w:w="127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0BD70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100.00</w:t>
            </w:r>
          </w:p>
        </w:tc>
        <w:tc>
          <w:tcPr>
            <w:tcW w:w="168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top"/>
          </w:tcPr>
          <w:p w14:paraId="4AF8E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 w14:paraId="0D36F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124" w:type="dxa"/>
            <w:gridSpan w:val="4"/>
            <w:tcBorders>
              <w:top w:val="dashSmallGap" w:color="auto" w:sz="4" w:space="0"/>
              <w:bottom w:val="dashSmallGap" w:color="auto" w:sz="4" w:space="0"/>
            </w:tcBorders>
            <w:vAlign w:val="top"/>
          </w:tcPr>
          <w:p w14:paraId="199F4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Special heavy items handling</w:t>
            </w:r>
          </w:p>
        </w:tc>
      </w:tr>
      <w:tr w14:paraId="45F6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71C1B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Upright piano: 180-215kg</w:t>
            </w:r>
          </w:p>
        </w:tc>
        <w:tc>
          <w:tcPr>
            <w:tcW w:w="1216" w:type="dxa"/>
            <w:vMerge w:val="restart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53CF2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  <w:p w14:paraId="10581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item</w:t>
            </w:r>
          </w:p>
          <w:p w14:paraId="379B9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27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28CFE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100.00</w:t>
            </w:r>
          </w:p>
        </w:tc>
        <w:tc>
          <w:tcPr>
            <w:tcW w:w="168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top"/>
          </w:tcPr>
          <w:p w14:paraId="2D2F8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 w14:paraId="57556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2F9F4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Baby grand piano: 240kg</w:t>
            </w:r>
          </w:p>
        </w:tc>
        <w:tc>
          <w:tcPr>
            <w:tcW w:w="1216" w:type="dxa"/>
            <w:vMerge w:val="continue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2E4C2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27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4FE56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250.00</w:t>
            </w:r>
          </w:p>
        </w:tc>
        <w:tc>
          <w:tcPr>
            <w:tcW w:w="168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top"/>
          </w:tcPr>
          <w:p w14:paraId="5CF29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 w14:paraId="7F209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66D14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Grand piano: 400-500kg</w:t>
            </w:r>
          </w:p>
        </w:tc>
        <w:tc>
          <w:tcPr>
            <w:tcW w:w="1216" w:type="dxa"/>
            <w:vMerge w:val="continue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3E824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27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39B65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350.00</w:t>
            </w:r>
          </w:p>
        </w:tc>
        <w:tc>
          <w:tcPr>
            <w:tcW w:w="168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top"/>
          </w:tcPr>
          <w:p w14:paraId="4C03C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 w14:paraId="73AB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31011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Move Piano up/down 1 floor: handy man by stair</w:t>
            </w:r>
          </w:p>
        </w:tc>
        <w:tc>
          <w:tcPr>
            <w:tcW w:w="1216" w:type="dxa"/>
            <w:vMerge w:val="restart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52652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floor</w:t>
            </w:r>
          </w:p>
        </w:tc>
        <w:tc>
          <w:tcPr>
            <w:tcW w:w="127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1A5AB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50.00</w:t>
            </w:r>
          </w:p>
        </w:tc>
        <w:tc>
          <w:tcPr>
            <w:tcW w:w="168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top"/>
          </w:tcPr>
          <w:p w14:paraId="3A4C1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 w14:paraId="39629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26658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Move Piano up/down 1 floor: handy man by stair &amp; difficult access</w:t>
            </w:r>
          </w:p>
        </w:tc>
        <w:tc>
          <w:tcPr>
            <w:tcW w:w="1216" w:type="dxa"/>
            <w:vMerge w:val="continue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2AC90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27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0190D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90.00</w:t>
            </w:r>
          </w:p>
        </w:tc>
        <w:tc>
          <w:tcPr>
            <w:tcW w:w="168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top"/>
          </w:tcPr>
          <w:p w14:paraId="16F45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 w14:paraId="2E749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1D809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Move Piano up/down 1 floor: handy man &amp; by crane/ scaffold …</w:t>
            </w:r>
          </w:p>
        </w:tc>
        <w:tc>
          <w:tcPr>
            <w:tcW w:w="121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086C4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time</w:t>
            </w:r>
          </w:p>
        </w:tc>
        <w:tc>
          <w:tcPr>
            <w:tcW w:w="127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787DB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200.00</w:t>
            </w:r>
          </w:p>
        </w:tc>
        <w:tc>
          <w:tcPr>
            <w:tcW w:w="168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top"/>
          </w:tcPr>
          <w:p w14:paraId="295D6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 w14:paraId="5DEF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124" w:type="dxa"/>
            <w:gridSpan w:val="4"/>
            <w:tcBorders>
              <w:top w:val="dashSmallGap" w:color="auto" w:sz="4" w:space="0"/>
              <w:bottom w:val="dashSmallGap" w:color="auto" w:sz="4" w:space="0"/>
            </w:tcBorders>
            <w:vAlign w:val="top"/>
          </w:tcPr>
          <w:p w14:paraId="058D0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Warehouse storage (pro-rate)</w:t>
            </w:r>
          </w:p>
        </w:tc>
      </w:tr>
      <w:tr w14:paraId="1F0B5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1FE63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Storage in transit (</w:t>
            </w: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>&lt;2 months)</w:t>
            </w:r>
          </w:p>
        </w:tc>
        <w:tc>
          <w:tcPr>
            <w:tcW w:w="2487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26498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US$12.00/cbm/month</w:t>
            </w:r>
          </w:p>
        </w:tc>
        <w:tc>
          <w:tcPr>
            <w:tcW w:w="168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53DC5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>Min. US$60.00</w:t>
            </w:r>
          </w:p>
        </w:tc>
      </w:tr>
      <w:tr w14:paraId="5DB3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124" w:type="dxa"/>
            <w:gridSpan w:val="4"/>
            <w:tcBorders>
              <w:top w:val="dashSmallGap" w:color="auto" w:sz="4" w:space="0"/>
              <w:bottom w:val="dashSmallGap" w:color="auto" w:sz="4" w:space="0"/>
            </w:tcBorders>
            <w:vAlign w:val="top"/>
          </w:tcPr>
          <w:p w14:paraId="392B3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Long term storage</w:t>
            </w: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 xml:space="preserve"> </w:t>
            </w: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>(&gt; 2 months)</w:t>
            </w:r>
          </w:p>
        </w:tc>
      </w:tr>
      <w:tr w14:paraId="3F4E8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24838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WH storage charge</w:t>
            </w:r>
          </w:p>
        </w:tc>
        <w:tc>
          <w:tcPr>
            <w:tcW w:w="2487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3D845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US$7.00/cbm/ month</w:t>
            </w:r>
          </w:p>
        </w:tc>
        <w:tc>
          <w:tcPr>
            <w:tcW w:w="168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577D7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>Min. US$35.00</w:t>
            </w:r>
          </w:p>
        </w:tc>
      </w:tr>
      <w:tr w14:paraId="0C725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right w:val="single" w:color="auto" w:sz="4" w:space="0"/>
            </w:tcBorders>
            <w:vAlign w:val="top"/>
          </w:tcPr>
          <w:p w14:paraId="7F3D1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WH handling charge</w:t>
            </w:r>
          </w:p>
        </w:tc>
        <w:tc>
          <w:tcPr>
            <w:tcW w:w="2487" w:type="dxa"/>
            <w:gridSpan w:val="2"/>
            <w:tcBorders>
              <w:top w:val="dashSmallGap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52A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US$6.00/cbm/ month</w:t>
            </w:r>
          </w:p>
        </w:tc>
        <w:tc>
          <w:tcPr>
            <w:tcW w:w="1681" w:type="dxa"/>
            <w:tcBorders>
              <w:top w:val="dashSmallGap" w:color="auto" w:sz="4" w:space="0"/>
              <w:left w:val="single" w:color="auto" w:sz="4" w:space="0"/>
            </w:tcBorders>
            <w:vAlign w:val="center"/>
          </w:tcPr>
          <w:p w14:paraId="595BA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>Min. US$30.00</w:t>
            </w:r>
          </w:p>
        </w:tc>
      </w:tr>
    </w:tbl>
    <w:p w14:paraId="5ADDD6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lang w:val="en-US"/>
        </w:rPr>
      </w:pPr>
    </w:p>
    <w:p w14:paraId="1D823D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lang w:val="en-US"/>
        </w:rPr>
      </w:pPr>
      <w:r>
        <w:rPr>
          <w:rFonts w:hint="default"/>
          <w:lang w:val="en-US"/>
        </w:rPr>
        <w:object>
          <v:shape id="_x0000_i1025" o:spt="75" type="#_x0000_t75" style="height:25.55pt;width:465.7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8">
            <o:LockedField>false</o:LockedField>
          </o:OLEObject>
        </w:object>
      </w:r>
    </w:p>
    <w:sectPr>
      <w:headerReference r:id="rId5" w:type="default"/>
      <w:footerReference r:id="rId6" w:type="default"/>
      <w:pgSz w:w="11907" w:h="16839"/>
      <w:pgMar w:top="86" w:right="1296" w:bottom="1296" w:left="1296" w:header="547" w:footer="4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A9E72">
    <w:pPr>
      <w:pageBreakBefore w:val="0"/>
      <w:tabs>
        <w:tab w:val="center" w:pos="4680"/>
        <w:tab w:val="right" w:pos="9360"/>
      </w:tabs>
      <w:spacing w:after="0" w:line="240" w:lineRule="auto"/>
      <w:jc w:val="center"/>
      <w:rPr>
        <w:color w:val="595959"/>
        <w:sz w:val="20"/>
        <w:szCs w:val="20"/>
      </w:rPr>
    </w:pPr>
    <w:r>
      <w:fldChar w:fldCharType="begin"/>
    </w:r>
    <w:r>
      <w:instrText xml:space="preserve"> HYPERLINK "mailto:info@asia-relocation.com" \h </w:instrText>
    </w:r>
    <w:r>
      <w:fldChar w:fldCharType="separate"/>
    </w:r>
    <w:r>
      <w:rPr>
        <w:color w:val="1155CC"/>
        <w:sz w:val="20"/>
        <w:szCs w:val="20"/>
        <w:u w:val="single"/>
        <w:rtl w:val="0"/>
      </w:rPr>
      <w:t>info@asia-relocation.com</w:t>
    </w:r>
    <w:r>
      <w:rPr>
        <w:color w:val="1155CC"/>
        <w:sz w:val="20"/>
        <w:szCs w:val="20"/>
        <w:u w:val="single"/>
        <w:rtl w:val="0"/>
      </w:rPr>
      <w:fldChar w:fldCharType="end"/>
    </w:r>
    <w:r>
      <w:rPr>
        <w:sz w:val="20"/>
        <w:szCs w:val="20"/>
        <w:rtl w:val="0"/>
      </w:rPr>
      <w:t xml:space="preserve"> |</w:t>
    </w:r>
    <w:r>
      <w:rPr>
        <w:color w:val="595959"/>
        <w:sz w:val="20"/>
        <w:szCs w:val="20"/>
        <w:rtl w:val="0"/>
      </w:rPr>
      <w:t xml:space="preserve"> +</w:t>
    </w:r>
    <w:r>
      <w:rPr>
        <w:rFonts w:hint="default"/>
        <w:color w:val="595959"/>
        <w:sz w:val="20"/>
        <w:szCs w:val="20"/>
        <w:rtl w:val="0"/>
        <w:lang w:val="en-US"/>
      </w:rPr>
      <w:t>84 (0) 937 699 451</w:t>
    </w:r>
    <w:r>
      <w:rPr>
        <w:color w:val="595959"/>
        <w:sz w:val="20"/>
        <w:szCs w:val="20"/>
        <w:rtl w:val="0"/>
      </w:rPr>
      <w:t xml:space="preserve"> | </w:t>
    </w:r>
    <w:r>
      <w:fldChar w:fldCharType="begin"/>
    </w:r>
    <w:r>
      <w:instrText xml:space="preserve"> HYPERLINK "http://www.asia-relocation.com" \h </w:instrText>
    </w:r>
    <w:r>
      <w:fldChar w:fldCharType="separate"/>
    </w:r>
    <w:r>
      <w:rPr>
        <w:color w:val="1155CC"/>
        <w:sz w:val="20"/>
        <w:szCs w:val="20"/>
        <w:u w:val="single"/>
        <w:rtl w:val="0"/>
      </w:rPr>
      <w:t xml:space="preserve">www.asia-relocation.com </w:t>
    </w:r>
    <w:r>
      <w:rPr>
        <w:color w:val="1155CC"/>
        <w:sz w:val="20"/>
        <w:szCs w:val="20"/>
        <w:u w:val="single"/>
        <w:rtl w:val="0"/>
      </w:rPr>
      <w:fldChar w:fldCharType="end"/>
    </w:r>
    <w:r>
      <w:rPr>
        <w:color w:val="595959"/>
        <w:sz w:val="20"/>
        <w:szCs w:val="20"/>
        <w:rtl w:val="0"/>
      </w:rPr>
      <w:t xml:space="preserve">                  </w:t>
    </w:r>
  </w:p>
  <w:p w14:paraId="3CF61F73">
    <w:pPr>
      <w:pageBreakBefore w:val="0"/>
      <w:spacing w:after="0"/>
      <w:rPr>
        <w:rFonts w:ascii="Comic Sans MS" w:hAnsi="Comic Sans MS" w:eastAsia="Comic Sans MS" w:cs="Comic Sans MS"/>
        <w:color w:val="222222"/>
      </w:rPr>
    </w:pPr>
    <w:r>
      <w:pict>
        <v:rect id="_x0000_i1026" o:spt="1" style="height:1.5pt;width:0pt;" fillcolor="#A0A0A0" filled="t" stroked="f" coordsize="21600,21600" o:hr="t" o:hrstd="t" o:hralign="center">
          <v:path/>
          <v:fill on="t" focussize="0,0"/>
          <v:stroke on="f"/>
          <v:imagedata o:title=""/>
          <o:lock v:ext="edit"/>
          <w10:wrap type="none"/>
          <w10:anchorlock/>
        </v:rect>
      </w:pict>
    </w:r>
  </w:p>
  <w:p w14:paraId="21EC35FE">
    <w:pPr>
      <w:pageBreakBefore w:val="0"/>
      <w:spacing w:after="0"/>
      <w:rPr>
        <w:color w:val="595959"/>
        <w:sz w:val="20"/>
        <w:szCs w:val="20"/>
      </w:rPr>
    </w:pPr>
  </w:p>
  <w:p w14:paraId="0869587D">
    <w:pPr>
      <w:pageBreakBefore w:val="0"/>
      <w:spacing w:after="0"/>
      <w:jc w:val="center"/>
      <w:rPr>
        <w:b/>
      </w:rPr>
    </w:pPr>
    <w:r>
      <w:rPr>
        <w:b/>
        <w:rtl w:val="0"/>
      </w:rPr>
      <w:t>Member of:</w:t>
    </w:r>
  </w:p>
  <w:p w14:paraId="3BF4C498">
    <w:pPr>
      <w:pageBreakBefore w:val="0"/>
      <w:tabs>
        <w:tab w:val="center" w:pos="4680"/>
        <w:tab w:val="right" w:pos="9360"/>
      </w:tabs>
      <w:spacing w:after="0" w:line="240" w:lineRule="auto"/>
      <w:jc w:val="center"/>
      <w:rPr>
        <w:rFonts w:ascii="Comic Sans MS" w:hAnsi="Comic Sans MS" w:eastAsia="Comic Sans MS" w:cs="Comic Sans MS"/>
        <w:color w:val="222222"/>
      </w:rPr>
    </w:pPr>
    <w:r>
      <w:rPr>
        <w:sz w:val="20"/>
        <w:szCs w:val="20"/>
      </w:rPr>
      <w:drawing>
        <wp:inline distT="114300" distB="114300" distL="114300" distR="114300">
          <wp:extent cx="3642995" cy="61595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43313" cy="616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0CE72F">
    <w:pPr>
      <w:pageBreakBefore w:val="0"/>
      <w:tabs>
        <w:tab w:val="center" w:pos="4680"/>
        <w:tab w:val="right" w:pos="9360"/>
      </w:tabs>
      <w:spacing w:after="0" w:line="240" w:lineRule="auto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CB748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left" w:pos="4050"/>
      </w:tabs>
      <w:spacing w:before="0" w:after="0" w:line="240" w:lineRule="auto"/>
      <w:ind w:left="-108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  <w:p w14:paraId="567C570F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left" w:pos="4050"/>
      </w:tabs>
      <w:spacing w:before="0" w:after="0" w:line="240" w:lineRule="auto"/>
      <w:ind w:left="-108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  <w:p w14:paraId="20F817AD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left" w:pos="4050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drawing>
        <wp:inline distT="0" distB="0" distL="0" distR="0">
          <wp:extent cx="3162300" cy="469265"/>
          <wp:effectExtent l="0" t="0" r="0" b="0"/>
          <wp:docPr id="1" name="image2.png" descr="C:\Users\Philibert\Google Drive\AsiaRelocation (Y) Drive\IMAGES\LOGO 2015\ASIARELOC LOGO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C:\Users\Philibert\Google Drive\AsiaRelocation (Y) Drive\IMAGES\LOGO 2015\ASIARELOC LOGO-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62300" cy="469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A69492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left" w:pos="4050"/>
      </w:tabs>
      <w:spacing w:before="0" w:after="0" w:line="240" w:lineRule="auto"/>
      <w:ind w:left="-1080" w:right="0" w:firstLine="0"/>
      <w:jc w:val="left"/>
    </w:pPr>
  </w:p>
  <w:p w14:paraId="769020A1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left" w:pos="4050"/>
      </w:tabs>
      <w:spacing w:before="0" w:after="0" w:line="240" w:lineRule="auto"/>
      <w:ind w:left="-1080" w:right="0" w:firstLine="0"/>
      <w:jc w:val="left"/>
    </w:pPr>
  </w:p>
  <w:p w14:paraId="49A7D21A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left" w:pos="4050"/>
      </w:tabs>
      <w:spacing w:before="0" w:after="0" w:line="240" w:lineRule="auto"/>
      <w:ind w:left="-108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  <w:rtl w:val="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CAA42F"/>
    <w:multiLevelType w:val="singleLevel"/>
    <w:tmpl w:val="EACAA42F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7FD81A7D"/>
    <w:multiLevelType w:val="singleLevel"/>
    <w:tmpl w:val="7FD81A7D"/>
    <w:lvl w:ilvl="0" w:tentative="0">
      <w:start w:val="1"/>
      <w:numFmt w:val="bullet"/>
      <w:lvlText w:val=""/>
      <w:lvlJc w:val="left"/>
      <w:pPr>
        <w:tabs>
          <w:tab w:val="left" w:pos="420"/>
        </w:tabs>
        <w:ind w:left="618" w:leftChars="0" w:hanging="418" w:firstLineChars="0"/>
      </w:pPr>
      <w:rPr>
        <w:rFonts w:hint="default" w:ascii="Wingdings 2" w:hAnsi="Wingdings 2" w:cs="Wingdings 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4F205D1"/>
    <w:rsid w:val="143E5F0F"/>
    <w:rsid w:val="1EDC7070"/>
    <w:rsid w:val="20871E77"/>
    <w:rsid w:val="35D15C9B"/>
    <w:rsid w:val="3CA23579"/>
    <w:rsid w:val="49003E0E"/>
    <w:rsid w:val="4D5E2080"/>
    <w:rsid w:val="4FC60765"/>
    <w:rsid w:val="55F84CE8"/>
    <w:rsid w:val="56181AD0"/>
    <w:rsid w:val="563237A9"/>
    <w:rsid w:val="5BBB6593"/>
    <w:rsid w:val="5D3F3A19"/>
    <w:rsid w:val="6831522F"/>
    <w:rsid w:val="69456C9D"/>
    <w:rsid w:val="6D042F8D"/>
    <w:rsid w:val="76D55FAD"/>
    <w:rsid w:val="778D36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US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3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5">
    <w:name w:val="Table Normal1"/>
    <w:qFormat/>
    <w:uiPriority w:val="0"/>
  </w:style>
  <w:style w:type="paragraph" w:customStyle="1" w:styleId="16">
    <w:name w:val="Standard"/>
    <w:qFormat/>
    <w:uiPriority w:val="0"/>
    <w:pPr>
      <w:suppressAutoHyphens/>
      <w:autoSpaceDN w:val="0"/>
      <w:spacing w:after="0" w:line="240" w:lineRule="auto"/>
    </w:pPr>
    <w:rPr>
      <w:rFonts w:ascii="Liberation Serif" w:hAnsi="Liberation Serif" w:eastAsia="SimSun" w:cs="Mangal"/>
      <w:kern w:val="3"/>
      <w:sz w:val="24"/>
      <w:szCs w:val="24"/>
      <w:lang w:val="vi-VN" w:eastAsia="zh-CN" w:bidi="hi-IN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16</TotalTime>
  <ScaleCrop>false</ScaleCrop>
  <LinksUpToDate>false</LinksUpToDate>
  <Application>WPS Office_12.2.0.18165_F1E327BC-269C-435d-A152-05C5408002CA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2023-01-06T00:46:00Z</dcterms:created>
  <dc:creator>Hanh Asia Relocation</dc:creator>
  <cp:lastModifiedBy>Hanh Asia Relocation Vietnam</cp:lastModifiedBy>
  <cp:lastPrinted>2024-06-27T08:24:00Z</cp:lastPrinted>
  <dcterms:modified xsi:type="dcterms:W3CDTF">2024-09-06T08:35:43Z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FBEDD085DF9742759F783A03E82FB8EA</vt:lpwstr>
  </property>
</Properties>
</file>