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E58FF78" w:rsidRDefault="6E58FF78" w14:paraId="262711D2" w14:textId="0943BC19"/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0170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6E58FF78" w:rsidTr="6E58FF78" w14:paraId="436E96C8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7FD6D3DD" w14:textId="2FABCCA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sz w:val="24"/>
                <w:szCs w:val="24"/>
                <w:u w:val="single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strike w:val="0"/>
                <w:dstrike w:val="0"/>
                <w:sz w:val="24"/>
                <w:szCs w:val="24"/>
                <w:u w:val="single"/>
              </w:rPr>
              <w:t>Rates include: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92BC366" w14:textId="1FBCB9E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0CAA3D9" w14:textId="69684D3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E57ADA1" w14:textId="26D7A63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01E3683" w14:textId="7A95873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F0F81FA" w14:textId="153FC12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1C11B24" w14:textId="12E39F2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FF1E445" w14:textId="267C792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BE96A51" w14:textId="65F35BD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0AB6153" w14:textId="48A6360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3EF24E4" w14:textId="5F357AC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F0ED8CE" w14:textId="3A4D3B0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3E59947" w14:textId="3B004945"/>
        </w:tc>
      </w:tr>
      <w:tr w:rsidR="6E58FF78" w:rsidTr="6E58FF78" w14:paraId="3F773902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010829EA" w14:textId="1BA21CAF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Normal customs clearance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2412CCE" w14:textId="492945E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8F577C6" w14:textId="50B79DF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8B105B6" w14:textId="0084961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3A0952A" w14:textId="521A845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9B99BEC" w14:textId="456378C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D957756" w14:textId="0D5D09C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507899C" w14:textId="7EF3577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80ECFB7" w14:textId="6F30CF9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EA54991" w14:textId="66A00B8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B92C06B" w14:textId="13D78C8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DBF6D56" w14:textId="635BC2B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34CD44F" w14:textId="57BE1F28"/>
        </w:tc>
      </w:tr>
      <w:tr w:rsidR="6E58FF78" w:rsidTr="6E58FF78" w14:paraId="0A3961ED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06712CD9" w14:textId="70A1297F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Collection of container/consignment from arrival port/terminal/airport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D915C77" w14:textId="7003C83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8908678" w14:textId="1A1740A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0CF1EE2" w14:textId="2FEDD78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A5AE1FB" w14:textId="441F8E2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38A3DAB" w14:textId="31F3B24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D461592" w14:textId="40CD8E7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3A545F3" w14:textId="53A6AAD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F4E9C9C" w14:textId="34C1675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925BEB1" w14:textId="5264827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5155600" w14:textId="0877074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8A00CD0" w14:textId="57494B6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D8470CF" w14:textId="7D08D99A"/>
        </w:tc>
      </w:tr>
      <w:tr w:rsidR="6E58FF78" w:rsidTr="6E58FF78" w14:paraId="5C9F45D3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0B8B2E55" w14:textId="45F1AE5C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Delivery to single “normal Access” residence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747A5C5" w14:textId="70EF4CF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CAA3156" w14:textId="427AE63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0688787" w14:textId="03701B0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7E4355C" w14:textId="7EBD89A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8F29FDA" w14:textId="0467403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FF4820B" w14:textId="3B14657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EBB2AC9" w14:textId="6999C36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0B0E785" w14:textId="4CE4DBC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2234BC4" w14:textId="35E7FA3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B835F56" w14:textId="61C247F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FE56453" w14:textId="69EBFF4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08CFABA" w14:textId="7AF1B69D"/>
        </w:tc>
      </w:tr>
      <w:tr w:rsidR="6E58FF78" w:rsidTr="6E58FF78" w14:paraId="17638E84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3709D284" w14:textId="21F40FA4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Professional unwrapping, uncrating, and placement of furniture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C0E965D" w14:textId="446B84C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103E9DA" w14:textId="4B2D08C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1FD9A51" w14:textId="0E8EB5D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7A88436" w14:textId="03E4B42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C48B347" w14:textId="2F97CF1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51455AD" w14:textId="71F6291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FF77791" w14:textId="6E7171A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3711B13" w14:textId="5CAE633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361AD85" w14:textId="792F3EC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4A97566" w14:textId="60093B5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D1293F2" w14:textId="2FC05F6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FCBFBC3" w14:textId="3A26B3E8"/>
        </w:tc>
      </w:tr>
      <w:tr w:rsidR="6E58FF78" w:rsidTr="6E58FF78" w14:paraId="36C333FB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3EFEAB18" w14:textId="76F520B3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Reassembly of furniture that does not require specialist assembly or the services of 3rd party trade people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. 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(Any item that requires two or more people over 30 minutes to service will be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deemed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 to require specialist assembly)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733B6B1" w14:textId="3A30C27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3275F93" w14:textId="77CE9F0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9D240FE" w14:textId="39C0196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FD601CA" w14:textId="1763A198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D164A6D" w14:textId="5E350EF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0AAA22D" w14:textId="4496EC1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115BC14" w14:textId="71C6AE7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433B6DB" w14:textId="00B2E83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CA0C6B4" w14:textId="31CA34D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8B803E2" w14:textId="1388B8A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187CF6A" w14:textId="5818CBF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287A309" w14:textId="5D7CA502"/>
        </w:tc>
      </w:tr>
      <w:tr w:rsidR="6E58FF78" w:rsidTr="6E58FF78" w14:paraId="1A823E77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0D63A0CE" w14:textId="4507B325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Unpacking and placing china, glassware, and clothing, and other items onto a countertop, table,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bed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 or other flat surface in the room of the client's choice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6EF3442" w14:textId="2FED752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00D5E28" w14:textId="1F69B44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E8BDCDA" w14:textId="171A5A4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834309A" w14:textId="7181805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1F735CE" w14:textId="05A8B22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24CB374" w14:textId="64F807B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A490DDE" w14:textId="08C7C90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707DB04" w14:textId="04CC7B1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B7D68A7" w14:textId="4293F82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E12984F" w14:textId="67368E04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6B70CA5" w14:textId="0BDBA07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A8B25B2" w14:textId="7AA61D53"/>
        </w:tc>
      </w:tr>
      <w:tr w:rsidR="6E58FF78" w:rsidTr="6E58FF78" w14:paraId="1D011863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221DC5AF" w14:textId="212867AE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Removal of packing materials / debris at the time of delivery.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9A1DA4D" w14:textId="2D319FD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C02FF11" w14:textId="3E15173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F4F3B18" w14:textId="5FBBDAD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D2DA6CC" w14:textId="2DE5D0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F2015C3" w14:textId="003F0B9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11FFBB6" w14:textId="6084757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7E110DC" w14:textId="4278DD9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AE5D64B" w14:textId="0D4C9BD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4A20793" w14:textId="05143E8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98D2E4C" w14:textId="0400764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262F138" w14:textId="482085B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E6DE264" w14:textId="6F8FD18B"/>
        </w:tc>
      </w:tr>
      <w:tr w:rsidR="6E58FF78" w:rsidTr="6E58FF78" w14:paraId="27312242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3E05653A" w14:textId="03538541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Shipments exceeding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5000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lbs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 xml:space="preserve"> will be entitled a separate debris collection provided that the delivery has been made to a mainland address within 30 miles of the destination city </w:t>
            </w: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center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C85A3BD" w14:textId="608DB90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9160404" w14:textId="366188A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8EE1258" w14:textId="788112C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74B6A8D" w14:textId="42E168F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1882687" w14:textId="3EDFFF7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B2E97DC" w14:textId="7225F44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6668B90" w14:textId="1A25F84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B9628E5" w14:textId="2051929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09C0B42" w14:textId="7C04FBF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C64E071" w14:textId="1FCAECB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6BEF0E0" w14:textId="4DECF84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794BA6C" w14:textId="5696AF5D"/>
        </w:tc>
      </w:tr>
      <w:tr w:rsidR="6E58FF78" w:rsidTr="6E58FF78" w14:paraId="6DB28BAF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645B7CDF" w14:textId="226EE028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Uncrating of up to 10 crates per shipment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495B31D" w14:textId="5E5141C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12519D6" w14:textId="2784A22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6895A52" w14:textId="57595EB3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A0FF3F9" w14:textId="0C07365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8EC2071" w14:textId="281EC43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9C13E64" w14:textId="79DEB5C7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3DE1EDBF" w14:textId="6194AFFA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11B4C1B" w14:textId="1C43EBE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6FA2EDF" w14:textId="4953857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76655DC" w14:textId="5E73ECF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1403A719" w14:textId="2D60E2F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22AB147A" w14:textId="06F3F32E"/>
        </w:tc>
      </w:tr>
      <w:tr w:rsidR="6E58FF78" w:rsidTr="6E58FF78" w14:paraId="34455BFE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2FA96CD7" w14:textId="669D77AF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Return of empty container to arrival terminal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126475C" w14:textId="289F179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DABC887" w14:textId="69F4A60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A1BE5EB" w14:textId="0380B84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D487B97" w14:textId="6E91554D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A47154A" w14:textId="188102A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20357FE" w14:textId="71EEF62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C6F9A0D" w14:textId="18C795E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702B4F33" w14:textId="795A32F0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5E55894B" w14:textId="4D01082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4D5D09DE" w14:textId="01440346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036E6033" w14:textId="22344875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RDefault="6E58FF78" w14:paraId="6BDB08C2" w14:textId="01C84586"/>
        </w:tc>
      </w:tr>
      <w:tr w:rsidR="6E58FF78" w:rsidTr="6E58FF78" w14:paraId="52DEE516">
        <w:trPr>
          <w:trHeight w:val="300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:rsidR="6E58FF78" w:rsidP="6E58FF78" w:rsidRDefault="6E58FF78" w14:paraId="2497153A" w14:textId="58EF72D1">
            <w:pPr>
              <w:spacing w:before="0" w:beforeAutospacing="off" w:after="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sz w:val="24"/>
                <w:szCs w:val="24"/>
              </w:rPr>
              <w:t>Delivery of upright piano to ground floor only.</w:t>
            </w:r>
            <w:r>
              <w:br/>
            </w:r>
            <w:r>
              <w:br/>
            </w:r>
          </w:p>
          <w:tbl>
            <w:tblPr>
              <w:tblStyle w:val="TableNormal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120"/>
              <w:gridCol w:w="345"/>
              <w:gridCol w:w="345"/>
              <w:gridCol w:w="345"/>
            </w:tblGrid>
            <w:tr w:rsidR="6E58FF78" w:rsidTr="6E58FF78" w14:paraId="7E6A66B9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3172857" w14:textId="3293F0E4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b w:val="1"/>
                      <w:bCs w:val="1"/>
                      <w:strike w:val="0"/>
                      <w:dstrike w:val="0"/>
                      <w:sz w:val="24"/>
                      <w:szCs w:val="24"/>
                      <w:u w:val="single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1"/>
                      <w:bCs w:val="1"/>
                      <w:strike w:val="0"/>
                      <w:dstrike w:val="0"/>
                      <w:sz w:val="24"/>
                      <w:szCs w:val="24"/>
                      <w:u w:val="single"/>
                    </w:rPr>
                    <w:t>Rates exclude: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3C6F4E4" w14:textId="6C37E476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137DE869" w14:textId="222926F5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0967EA1" w14:textId="5B2BBE54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6D04BB97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5D297FC2" w14:textId="6490FF42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Customs duty, </w:t>
                  </w: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taxes</w:t>
                  </w: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 and other government charges payable on the consignment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72C9B09" w14:textId="7EB5B4B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A42FFF4" w14:textId="3820237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01A02E1" w14:textId="770AAA7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479998AA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0D7F6F4" w14:textId="707F1B38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Special customs examination requiring off site inspection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4B93D695" w14:textId="1371BE5E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CD65D70" w14:textId="37741428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1442BDDE" w14:textId="5FDEC84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6615AD99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3A08394" w14:textId="09AE0A4F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Container/Airline rent and demurrage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66FDE0BE" w14:textId="773B53FE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94EB8AE" w14:textId="7B8625B4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8ED907F" w14:textId="59A4993B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0B2E3C56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2DA975E" w14:textId="20069B08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Second delivery point or access outside Allied International agreed specification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2F07215" w14:textId="11EB241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09085CC9" w14:textId="1AFFABD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1F2C71CD" w14:textId="10124CD9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493BF648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70BB44B" w14:textId="50A70992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Storage rental and handling charges.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13AB440E" w14:textId="5C2ED65E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50CF3216" w14:textId="2B5777F9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18617383" w14:textId="2A2F9C82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4B271C12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503C8465" w14:textId="003CE253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6C7E27A3" w14:textId="0DCC47FE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02247179" w14:textId="3BEE3014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669D4BBA" w14:textId="7A90543B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3D18FF7E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979DB9A" w14:textId="45A8AF5C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 xml:space="preserve">Steam cleaning and fumigation etc. if </w:t>
                  </w: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required</w:t>
                  </w: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47DBCE30" w14:textId="0A2364A5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412E9DC" w14:textId="48567758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403068E5" w14:textId="563715D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30E1DB8E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6C50884E" w14:textId="707A838D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Terminal handling charges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8010B36" w14:textId="05BB8517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983C063" w14:textId="103B834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3202A08" w14:textId="30DD074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33D22E7C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115EF9C" w14:textId="302D9F4D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Demurrage, Port storage fees etc. arising due to circumstances beyond our control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728485DE" w14:textId="7C9EC400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DC00A0B" w14:textId="16F586DF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03B10B4C" w14:textId="5E9B3DDC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0D08471D">
              <w:trPr>
                <w:trHeight w:val="300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6B692DAB" w14:textId="34C6C7E5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sz w:val="24"/>
                      <w:szCs w:val="24"/>
                    </w:rPr>
                    <w:t>Services outside the terms of the Allied Service Charter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3CB28970" w14:textId="4B8E2201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4AF7D2D" w14:textId="6348AB7D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2258C88B" w14:textId="31977830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  <w:tr w:rsidR="6E58FF78" w:rsidTr="6E58FF78" w14:paraId="00D0627D">
              <w:trPr>
                <w:trHeight w:val="795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bottom"/>
                </w:tcPr>
                <w:p w:rsidR="6E58FF78" w:rsidP="6E58FF78" w:rsidRDefault="6E58FF78" w14:paraId="47D78B88" w14:textId="35A6978E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  <w:p w:rsidR="6E58FF78" w:rsidP="6E58FF78" w:rsidRDefault="6E58FF78" w14:paraId="1AEA22A3" w14:textId="286A1A42">
                  <w:pPr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1"/>
                      <w:bCs w:val="1"/>
                      <w:sz w:val="24"/>
                      <w:szCs w:val="24"/>
                    </w:rPr>
                    <w:t xml:space="preserve">Additional Services </w:t>
                  </w:r>
                </w:p>
                <w:p w:rsidR="6E58FF78" w:rsidP="6E58FF78" w:rsidRDefault="6E58FF78" w14:paraId="7B821AE0" w14:textId="28B66EE9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Stair 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carry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 beyond 2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  <w:vertAlign w:val="superscript"/>
                    </w:rPr>
                    <w:t>nd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 floor - € 10.00 - Rate per CBM per floor (rate applies only to floors beyond second floor)</w:t>
                  </w:r>
                </w:p>
                <w:p w:rsidR="6E58FF78" w:rsidP="6E58FF78" w:rsidRDefault="6E58FF78" w14:paraId="7FBF4102" w14:textId="7E151364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3F7F200D" w14:textId="507A5708">
                  <w:pPr>
                    <w:pStyle w:val="Normal"/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Carry beyond 25 meters - € 10.00 - Rate per CBM per 25 meters (rate applies only to distance beyond first 25 meters)</w:t>
                  </w:r>
                  <w:r>
                    <w:tab/>
                  </w:r>
                  <w:r>
                    <w:tab/>
                  </w:r>
                </w:p>
                <w:p w:rsidR="6E58FF78" w:rsidP="6E58FF78" w:rsidRDefault="6E58FF78" w14:paraId="259C3BB2" w14:textId="5811952D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7D924F50" w14:textId="5C42517A">
                  <w:pPr>
                    <w:pStyle w:val="Normal"/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Inside elevator use - € 7.50 - Rate per CBM (rate applies to all Elevator use irrespective of floor level of delivery)</w:t>
                  </w:r>
                  <w:r>
                    <w:tab/>
                  </w:r>
                </w:p>
                <w:p w:rsidR="6E58FF78" w:rsidP="6E58FF78" w:rsidRDefault="6E58FF78" w14:paraId="71083CF1" w14:textId="4427B768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741DB458" w14:textId="3DED4DC3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External elevator use - € 575.00 - Flat Rate </w:t>
                  </w:r>
                  <w:r>
                    <w:tab/>
                  </w:r>
                </w:p>
                <w:p w:rsidR="6E58FF78" w:rsidP="6E58FF78" w:rsidRDefault="6E58FF78" w14:paraId="0132CFF6" w14:textId="29396A8B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1C8EDCFA" w14:textId="0DB229FA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Shuttle Service - € 12.00 - Rate per CBM </w:t>
                  </w:r>
                </w:p>
                <w:p w:rsidR="6E58FF78" w:rsidP="6E58FF78" w:rsidRDefault="6E58FF78" w14:paraId="0F045688" w14:textId="3ACDDF33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0E187830" w14:textId="4130F271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Warehouse Handling - € 15.00 - Rate per CBM</w:t>
                  </w:r>
                </w:p>
                <w:p w:rsidR="6E58FF78" w:rsidP="6E58FF78" w:rsidRDefault="6E58FF78" w14:paraId="262B3FA9" w14:textId="7ABFCCF7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5AF6EF20" w14:textId="5CBD14ED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Monthly Storage - € 5.50 - Rate per CBM</w:t>
                  </w:r>
                </w:p>
                <w:p w:rsidR="6E58FF78" w:rsidP="6E58FF78" w:rsidRDefault="6E58FF78" w14:paraId="6A62D9D9" w14:textId="4A8FBC35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757FDBCD" w14:textId="12ADEED6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Uncrating - € 35.00 - Rate per crate, 10 crates free of charge</w:t>
                  </w:r>
                  <w:r>
                    <w:tab/>
                  </w:r>
                </w:p>
                <w:p w:rsidR="6E58FF78" w:rsidP="6E58FF78" w:rsidRDefault="6E58FF78" w14:paraId="5D9DD16B" w14:textId="2A8548A2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78F784FC" w14:textId="3AE19C6C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Upright Piano Handling - € 350.00 - Flat rate for delivery to ground floor, +150 EUR per floor</w:t>
                  </w:r>
                  <w:r>
                    <w:tab/>
                  </w:r>
                </w:p>
                <w:p w:rsidR="6E58FF78" w:rsidP="6E58FF78" w:rsidRDefault="6E58FF78" w14:paraId="219FBFBE" w14:textId="41131B26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4B8BB438" w14:textId="74ABD9AF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Extra stop within 30 miles / 50 kilometers of the primary service location - € 350.00 - Flat charge per 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additional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 stop</w:t>
                  </w:r>
                </w:p>
                <w:p w:rsidR="6E58FF78" w:rsidP="6E58FF78" w:rsidRDefault="6E58FF78" w14:paraId="071D8B2D" w14:textId="6A02CDD5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44F168C2" w14:textId="600BE147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Parking Permit – As per outlay – Flat charge </w:t>
                  </w:r>
                </w:p>
                <w:p w:rsidR="6E58FF78" w:rsidP="6E58FF78" w:rsidRDefault="6E58FF78" w14:paraId="0ED4259B" w14:textId="21D1D922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  <w:p w:rsidR="6E58FF78" w:rsidP="6E58FF78" w:rsidRDefault="6E58FF78" w14:paraId="41BBC498" w14:textId="63DED1E0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 xml:space="preserve">Additional remarks / Terms of service </w:t>
                  </w:r>
                </w:p>
                <w:p w:rsidR="6E58FF78" w:rsidP="6E58FF78" w:rsidRDefault="6E58FF78" w14:paraId="5FDFA37B" w14:textId="1AC2810E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  <w:t xml:space="preserve">** Normal access is defined as </w:t>
                  </w:r>
                </w:p>
                <w:p w:rsidR="6E58FF78" w:rsidP="6E58FF78" w:rsidRDefault="6E58FF78" w14:paraId="43D80465" w14:textId="31E4D5FA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  <w:t xml:space="preserve"> A single mainland residence accessed by direct road route. Vehicle must be able to gain legal and safe access and park within 25 meters of the ground floor entrance to a house or an apartment door. Collection and/or delivery must be able to take place through an unobstructed entrance/stairs/elevator large enough to accommodate all goods.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6E58FF78" w:rsidP="6E58FF78" w:rsidRDefault="6E58FF78" w14:paraId="54DC7FAA" w14:textId="76E2BA85">
                  <w:pPr>
                    <w:pStyle w:val="Normal"/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</w:pP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  <w:t xml:space="preserve">Collection and/or delivery will be from/to the ground floor or the second floor (assuming that the ground floor is the first floor) An 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  <w:t>additional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2"/>
                      <w:szCs w:val="22"/>
                    </w:rPr>
                    <w:t xml:space="preserve"> fee will be charged for the use of an elevat</w:t>
                  </w:r>
                  <w:r w:rsidRPr="6E58FF78" w:rsidR="6E58FF78">
                    <w:rPr>
                      <w:rFonts w:ascii="Arial" w:hAnsi="Arial" w:eastAsia="Arial" w:cs="Arial"/>
                      <w:b w:val="0"/>
                      <w:bCs w:val="0"/>
                      <w:sz w:val="24"/>
                      <w:szCs w:val="24"/>
                    </w:rPr>
                    <w:t>or</w:t>
                  </w:r>
                  <w:r>
                    <w:tab/>
                  </w:r>
                </w:p>
              </w:tc>
              <w:tc>
                <w:tcPr>
                  <w:tcW w:w="345" w:type="dxa"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:rsidR="6E58FF78" w:rsidP="6E58FF78" w:rsidRDefault="6E58FF78" w14:paraId="4F017CA7" w14:textId="35DCD47A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:rsidR="6E58FF78" w:rsidP="6E58FF78" w:rsidRDefault="6E58FF78" w14:paraId="0DC5D1F8" w14:textId="45A32C18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:rsidR="6E58FF78" w:rsidP="6E58FF78" w:rsidRDefault="6E58FF78" w14:paraId="3A2EB1E4" w14:textId="22AA642E">
                  <w:pPr>
                    <w:rPr>
                      <w:rFonts w:ascii="Arial" w:hAnsi="Arial" w:eastAsia="Arial" w:cs="Arial"/>
                      <w:sz w:val="24"/>
                      <w:szCs w:val="24"/>
                    </w:rPr>
                  </w:pPr>
                </w:p>
              </w:tc>
            </w:tr>
          </w:tbl>
          <w:p w:rsidR="6E58FF78" w:rsidP="6E58FF78" w:rsidRDefault="6E58FF78" w14:paraId="00385FC9" w14:textId="47019553">
            <w:pPr>
              <w:rPr>
                <w:rFonts w:ascii="Arial" w:hAnsi="Arial" w:eastAsia="Arial" w:cs="Arial"/>
              </w:rPr>
            </w:pPr>
            <w:r w:rsidRPr="6E58FF78" w:rsidR="6E58FF78">
              <w:rPr>
                <w:rFonts w:ascii="Arial" w:hAnsi="Arial" w:eastAsia="Arial" w:cs="Arial"/>
              </w:rPr>
              <w:t xml:space="preserve">Rates should be used in conjunction with the </w:t>
            </w:r>
            <w:r w:rsidRPr="6E58FF78" w:rsidR="6E58FF78">
              <w:rPr>
                <w:rFonts w:ascii="Arial" w:hAnsi="Arial" w:eastAsia="Arial" w:cs="Arial"/>
              </w:rPr>
              <w:t>appropriate rates</w:t>
            </w:r>
            <w:r w:rsidRPr="6E58FF78" w:rsidR="6E58FF78">
              <w:rPr>
                <w:rFonts w:ascii="Arial" w:hAnsi="Arial" w:eastAsia="Arial" w:cs="Arial"/>
              </w:rPr>
              <w:t xml:space="preserve"> appended to </w:t>
            </w:r>
            <w:r w:rsidRPr="6E58FF78" w:rsidR="6E58FF78">
              <w:rPr>
                <w:rFonts w:ascii="Arial" w:hAnsi="Arial" w:eastAsia="Arial" w:cs="Arial"/>
              </w:rPr>
              <w:t>Origin</w:t>
            </w:r>
            <w:r w:rsidRPr="6E58FF78" w:rsidR="6E58FF78">
              <w:rPr>
                <w:rFonts w:ascii="Arial" w:hAnsi="Arial" w:eastAsia="Arial" w:cs="Arial"/>
              </w:rPr>
              <w:t xml:space="preserve"> city.</w:t>
            </w:r>
          </w:p>
          <w:p w:rsidR="6E58FF78" w:rsidP="6E58FF78" w:rsidRDefault="6E58FF78" w14:paraId="380D5B55" w14:textId="43A5E329">
            <w:pPr>
              <w:pStyle w:val="Normal"/>
              <w:rPr>
                <w:rFonts w:ascii="Arial" w:hAnsi="Arial" w:eastAsia="Arial" w:cs="Arial"/>
              </w:rPr>
            </w:pPr>
          </w:p>
          <w:p w:rsidR="6E58FF78" w:rsidP="6E58FF78" w:rsidRDefault="6E58FF78" w14:paraId="493BA195" w14:textId="56823331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Minimums / Maximums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(Container maximums do not apply for multiple containers)</w:t>
            </w:r>
          </w:p>
          <w:p w:rsidR="6E58FF78" w:rsidP="6E58FF78" w:rsidRDefault="6E58FF78" w14:paraId="0D3C28D2" w14:textId="325CA4AE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6E58FF78" w:rsidP="6E58FF78" w:rsidRDefault="6E58FF78" w14:paraId="74EC4948" w14:textId="48B46CC2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Minimums</w:t>
            </w:r>
          </w:p>
          <w:p w:rsidR="6E58FF78" w:rsidP="6E58FF78" w:rsidRDefault="6E58FF78" w14:paraId="5B378C97" w14:textId="19DE2F1E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6E58FF78" w:rsidP="6E58FF78" w:rsidRDefault="6E58FF78" w14:paraId="3A4E1074" w14:textId="7BFEC1F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single"/>
              </w:rPr>
              <w:t>FCL Sole Use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:rsidR="6E58FF78" w:rsidP="6E58FF78" w:rsidRDefault="6E58FF78" w14:paraId="5AF93130" w14:textId="03B286F0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20' container:    2000 lbs.</w:t>
            </w:r>
            <w:r>
              <w:tab/>
            </w:r>
            <w:r>
              <w:tab/>
            </w:r>
            <w:r>
              <w:tab/>
            </w:r>
          </w:p>
          <w:p w:rsidR="6E58FF78" w:rsidP="6E58FF78" w:rsidRDefault="6E58FF78" w14:paraId="7DAC4A4A" w14:textId="2ED4D1D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40' container:   Loose Packed -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6000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lbs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 /   Lift Van Packed -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5000 lbs</w:t>
            </w:r>
            <w:r>
              <w:tab/>
            </w:r>
            <w:r>
              <w:tab/>
            </w:r>
            <w:r>
              <w:tab/>
            </w:r>
          </w:p>
          <w:p w:rsidR="6E58FF78" w:rsidP="6E58FF78" w:rsidRDefault="6E58FF78" w14:paraId="3FEA509A" w14:textId="3F6AECA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40' High Cube container:   Loose Packed -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6000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lbs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 /   Lift Van Packed -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5000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lbs </w:t>
            </w:r>
          </w:p>
          <w:p w:rsidR="6E58FF78" w:rsidP="6E58FF78" w:rsidRDefault="6E58FF78" w14:paraId="327040C4" w14:textId="3E5B02ED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6E58FF78" w:rsidP="6E58FF78" w:rsidRDefault="6E58FF78" w14:paraId="2F4C8EDC" w14:textId="1091A9E3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single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single"/>
              </w:rPr>
              <w:t>Airfreight</w:t>
            </w:r>
          </w:p>
          <w:p w:rsidR="6E58FF78" w:rsidP="6E58FF78" w:rsidRDefault="6E58FF78" w14:paraId="093AE179" w14:textId="372A06D8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500 lbs</w:t>
            </w:r>
          </w:p>
          <w:p w:rsidR="6E58FF78" w:rsidP="6E58FF78" w:rsidRDefault="6E58FF78" w14:paraId="7033F414" w14:textId="0437C161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6E58FF78" w:rsidP="6E58FF78" w:rsidRDefault="6E58FF78" w14:paraId="30158075" w14:textId="771442D6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single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single"/>
              </w:rPr>
              <w:t>LCL</w:t>
            </w:r>
          </w:p>
          <w:p w:rsidR="6E58FF78" w:rsidP="6E58FF78" w:rsidRDefault="6E58FF78" w14:paraId="17244CB5" w14:textId="3BC5B5B8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1000 </w:t>
            </w:r>
            <w:r w:rsidRPr="6E58FF78" w:rsidR="6E58FF7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lbs</w:t>
            </w:r>
          </w:p>
          <w:p w:rsidR="6E58FF78" w:rsidP="6E58FF78" w:rsidRDefault="6E58FF78" w14:paraId="55FBFFBC" w14:textId="34141780">
            <w:pPr>
              <w:pStyle w:val="Normal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6E58FF78" w:rsidP="6E58FF78" w:rsidRDefault="6E58FF78" w14:paraId="277826D2" w14:textId="7F2882D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SIRVA / Allied France</w:t>
            </w:r>
          </w:p>
          <w:p w:rsidR="6E58FF78" w:rsidP="6E58FF78" w:rsidRDefault="6E58FF78" w14:paraId="3065A8F9" w14:textId="4A04CA0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  <w:t>1 rue du 1er Mai</w:t>
            </w:r>
          </w:p>
          <w:p w:rsidR="6E58FF78" w:rsidP="6E58FF78" w:rsidRDefault="6E58FF78" w14:paraId="7829FBDE" w14:textId="2C186FD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  <w:t>CS 10147</w:t>
            </w:r>
          </w:p>
          <w:p w:rsidR="6E58FF78" w:rsidP="6E58FF78" w:rsidRDefault="6E58FF78" w14:paraId="21201569" w14:textId="288F464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2"/>
                <w:sz w:val="24"/>
                <w:szCs w:val="24"/>
                <w:lang w:val="fr"/>
              </w:rPr>
              <w:t>92752 Nanterre Cedex, France</w:t>
            </w:r>
          </w:p>
          <w:p w:rsidR="6E58FF78" w:rsidP="6E58FF78" w:rsidRDefault="6E58FF78" w14:paraId="64EE2BC9" w14:textId="70FB695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</w:p>
          <w:p w:rsidR="6E58FF78" w:rsidP="6E58FF78" w:rsidRDefault="6E58FF78" w14:paraId="3761CF0D" w14:textId="67FAB434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6E58FF78" w:rsidR="6E58F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Contact: </w:t>
            </w:r>
            <w:hyperlink r:id="Rc9fb508755b9461c">
              <w:r w:rsidRPr="6E58FF78" w:rsidR="6E58FF78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563C1"/>
                  <w:sz w:val="24"/>
                  <w:szCs w:val="24"/>
                  <w:u w:val="single"/>
                  <w:lang w:val="en-US"/>
                </w:rPr>
                <w:t>Antoine.Brethome@SIRVA.com</w:t>
              </w:r>
            </w:hyperlink>
          </w:p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6EE527A3" w14:textId="33527E11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1BF63CE4" w14:textId="0C7393A8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06887860" w14:textId="3CB2303F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323F7C20" w14:textId="14B89450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4A0DE9E6" w14:textId="0A49C3D8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5F1C7BC6" w14:textId="1562B9FC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0207D50E" w14:textId="2F639C79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66B9BAC2" w14:textId="285119CD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22210C88" w14:textId="10FC72F7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47F51D63" w14:textId="259E600A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439049AD" w14:textId="3F15DF98"/>
        </w:tc>
        <w:tc>
          <w:tcPr>
            <w:tcW w:w="34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E58FF78" w:rsidRDefault="6E58FF78" w14:paraId="1D9E5BBD" w14:textId="65C16C09"/>
        </w:tc>
      </w:tr>
    </w:tbl>
    <w:p w:rsidR="6E58FF78" w:rsidP="6E58FF78" w:rsidRDefault="6E58FF78" w14:paraId="1D9E849A" w14:textId="00A62B9C">
      <w:pPr>
        <w:pStyle w:val="Normal"/>
        <w:rPr>
          <w:b w:val="1"/>
          <w:b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0E6115"/>
    <w:rsid w:val="6E58FF78"/>
    <w:rsid w:val="7F0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6115"/>
  <w15:chartTrackingRefBased/>
  <w15:docId w15:val="{64E0E6D4-705C-4EB1-8BCF-61771D802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ntoine.Brethome@SIRVA.com" TargetMode="External" Id="Rc9fb508755b946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2024-01-17T08:18:23.1335893Z</dcterms:created>
  <dcterms:modified xsi:type="dcterms:W3CDTF">2024-01-17T09:00:55.1877900Z</dcterms:modified>
  <dc:creator>binah MoversPOE</dc:creator>
  <lastModifiedBy>binah MoversPOE</lastModifiedBy>
</coreProperties>
</file>