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JPG" ContentType="image/.jpg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2F5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Theme="majorAscii" w:hAnsiTheme="majorAscii"/>
          <w:b/>
          <w:bCs/>
          <w:color w:val="002060"/>
          <w:sz w:val="36"/>
          <w:szCs w:val="36"/>
          <w:lang w:val="en-US"/>
        </w:rPr>
      </w:pPr>
      <w:r>
        <w:rPr>
          <w:rFonts w:hint="default" w:asciiTheme="majorAscii" w:hAnsiTheme="majorAscii"/>
          <w:b/>
          <w:bCs/>
          <w:color w:val="002060"/>
          <w:sz w:val="36"/>
          <w:szCs w:val="36"/>
          <w:lang w:val="en-US"/>
        </w:rPr>
        <w:t>INCLUSIONS - EXCLUSIONS - ACCESSORIAL CHARGES</w:t>
      </w:r>
    </w:p>
    <w:p w14:paraId="5EC0A6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Theme="majorAscii" w:hAnsiTheme="majorAscii"/>
          <w:b/>
          <w:bCs/>
          <w:color w:val="002060"/>
          <w:sz w:val="36"/>
          <w:szCs w:val="36"/>
          <w:lang w:val="en-US"/>
        </w:rPr>
      </w:pPr>
      <w:r>
        <w:rPr>
          <w:rFonts w:hint="default" w:asciiTheme="majorAscii" w:hAnsiTheme="majorAscii"/>
          <w:b/>
          <w:bCs/>
          <w:color w:val="002060"/>
          <w:sz w:val="36"/>
          <w:szCs w:val="36"/>
          <w:lang w:val="en-US"/>
        </w:rPr>
        <w:t>(EXPORT)</w:t>
      </w:r>
    </w:p>
    <w:p w14:paraId="51B337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</w:pPr>
    </w:p>
    <w:p w14:paraId="79F774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</w:pPr>
    </w:p>
    <w:p w14:paraId="69E2C159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sz w:val="24"/>
          <w:szCs w:val="24"/>
          <w:u w:val="single"/>
        </w:rPr>
      </w:pPr>
      <w:r>
        <w:rPr>
          <w:rFonts w:hint="default"/>
          <w:b/>
          <w:bCs/>
          <w:sz w:val="24"/>
          <w:szCs w:val="24"/>
          <w:u w:val="single"/>
        </w:rPr>
        <w:t>INCLUSIONS</w:t>
      </w:r>
    </w:p>
    <w:p w14:paraId="655E1904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18" w:leftChars="0" w:hanging="418" w:firstLineChars="0"/>
        <w:textAlignment w:val="auto"/>
        <w:rPr>
          <w:rFonts w:hint="default"/>
        </w:rPr>
      </w:pPr>
      <w:r>
        <w:rPr>
          <w:rFonts w:hint="default"/>
        </w:rPr>
        <w:t>VAT</w:t>
      </w:r>
    </w:p>
    <w:p w14:paraId="2AA4C6A8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18" w:leftChars="0" w:hanging="418" w:firstLineChars="0"/>
        <w:textAlignment w:val="auto"/>
        <w:rPr>
          <w:rFonts w:hint="default"/>
        </w:rPr>
      </w:pPr>
      <w:r>
        <w:rPr>
          <w:rFonts w:hint="default"/>
        </w:rPr>
        <w:t xml:space="preserve">Customs clearance </w:t>
      </w:r>
    </w:p>
    <w:p w14:paraId="0CEA31EF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18" w:leftChars="0" w:hanging="418" w:firstLineChars="0"/>
        <w:textAlignment w:val="auto"/>
        <w:rPr>
          <w:rFonts w:hint="default"/>
        </w:rPr>
      </w:pPr>
      <w:r>
        <w:rPr>
          <w:rFonts w:hint="default"/>
        </w:rPr>
        <w:t>One time delivery of packing material in advance</w:t>
      </w:r>
    </w:p>
    <w:p w14:paraId="6457A977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18" w:leftChars="0" w:hanging="418" w:firstLineChars="0"/>
        <w:textAlignment w:val="auto"/>
        <w:rPr>
          <w:rFonts w:hint="default"/>
        </w:rPr>
      </w:pPr>
      <w:r>
        <w:rPr>
          <w:rFonts w:hint="default"/>
        </w:rPr>
        <w:t>Professional packing at residence HCMC (Exclude: Cu Chi, Can Gio District)</w:t>
      </w:r>
    </w:p>
    <w:p w14:paraId="193DD125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18" w:leftChars="0" w:hanging="418" w:firstLineChars="0"/>
        <w:textAlignment w:val="auto"/>
        <w:rPr>
          <w:rFonts w:hint="default"/>
        </w:rPr>
      </w:pPr>
      <w:r>
        <w:rPr>
          <w:rFonts w:hint="default"/>
        </w:rPr>
        <w:t>Transportation to the warehouse</w:t>
      </w:r>
    </w:p>
    <w:p w14:paraId="77ECDF9E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18" w:leftChars="0" w:hanging="418" w:firstLineChars="0"/>
        <w:textAlignment w:val="auto"/>
        <w:rPr>
          <w:rFonts w:hint="default"/>
        </w:rPr>
      </w:pPr>
      <w:r>
        <w:rPr>
          <w:rFonts w:hint="default"/>
        </w:rPr>
        <w:t>Warehouse free storage maximum 14 days</w:t>
      </w:r>
    </w:p>
    <w:p w14:paraId="255CF05E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18" w:leftChars="0" w:hanging="418" w:firstLineChars="0"/>
        <w:textAlignment w:val="auto"/>
        <w:rPr>
          <w:rFonts w:hint="default"/>
        </w:rPr>
      </w:pPr>
      <w:r>
        <w:rPr>
          <w:rFonts w:hint="default"/>
          <w:lang w:val="en-US"/>
        </w:rPr>
        <w:t>VGM</w:t>
      </w:r>
    </w:p>
    <w:p w14:paraId="6F7F5100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18" w:leftChars="0" w:hanging="418" w:firstLineChars="0"/>
        <w:textAlignment w:val="auto"/>
        <w:rPr>
          <w:rFonts w:hint="default"/>
        </w:rPr>
      </w:pPr>
      <w:r>
        <w:rPr>
          <w:rFonts w:hint="default"/>
          <w:lang w:val="en-US"/>
        </w:rPr>
        <w:t>Loading container</w:t>
      </w:r>
    </w:p>
    <w:p w14:paraId="2E1419D9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18" w:leftChars="0" w:hanging="418" w:firstLineChars="0"/>
        <w:textAlignment w:val="auto"/>
        <w:rPr>
          <w:rFonts w:hint="default"/>
        </w:rPr>
      </w:pPr>
      <w:r>
        <w:rPr>
          <w:rFonts w:hint="default"/>
        </w:rPr>
        <w:t>Liftvan crate for LCL shipment</w:t>
      </w:r>
    </w:p>
    <w:p w14:paraId="7466F60C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18" w:leftChars="0" w:hanging="418" w:firstLineChars="0"/>
        <w:textAlignment w:val="auto"/>
        <w:rPr>
          <w:rFonts w:hint="default"/>
        </w:rPr>
      </w:pPr>
      <w:r>
        <w:rPr>
          <w:rFonts w:hint="default"/>
        </w:rPr>
        <w:t>Haulage to port/ airport</w:t>
      </w:r>
    </w:p>
    <w:p w14:paraId="644C14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/>
          <w:b/>
          <w:bCs/>
        </w:rPr>
      </w:pPr>
    </w:p>
    <w:p w14:paraId="31B2D075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textAlignment w:val="auto"/>
        <w:rPr>
          <w:rFonts w:hint="default"/>
          <w:b/>
          <w:bCs/>
          <w:sz w:val="24"/>
          <w:szCs w:val="24"/>
          <w:u w:val="single"/>
        </w:rPr>
      </w:pPr>
      <w:r>
        <w:rPr>
          <w:rFonts w:hint="default"/>
          <w:b/>
          <w:bCs/>
          <w:sz w:val="24"/>
          <w:szCs w:val="24"/>
          <w:u w:val="single"/>
        </w:rPr>
        <w:t>EXCLUSIONS</w:t>
      </w:r>
    </w:p>
    <w:p w14:paraId="2D349C21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18" w:leftChars="0" w:hanging="418" w:firstLineChars="0"/>
        <w:textAlignment w:val="auto"/>
        <w:rPr>
          <w:rFonts w:hint="default"/>
        </w:rPr>
      </w:pPr>
      <w:r>
        <w:rPr>
          <w:rFonts w:hint="default"/>
        </w:rPr>
        <w:t>Port charge, Local charge, DO, THC… bill at</w:t>
      </w:r>
      <w:bookmarkStart w:id="0" w:name="_GoBack"/>
      <w:bookmarkEnd w:id="0"/>
      <w:r>
        <w:rPr>
          <w:rFonts w:hint="default"/>
        </w:rPr>
        <w:t xml:space="preserve"> cost</w:t>
      </w:r>
    </w:p>
    <w:p w14:paraId="360DB923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18" w:leftChars="0" w:hanging="418" w:firstLineChars="0"/>
        <w:textAlignment w:val="auto"/>
        <w:rPr>
          <w:rFonts w:hint="default"/>
        </w:rPr>
      </w:pPr>
      <w:r>
        <w:rPr>
          <w:rFonts w:hint="default"/>
        </w:rPr>
        <w:t>Import tax/duty</w:t>
      </w:r>
    </w:p>
    <w:p w14:paraId="00388C9B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18" w:leftChars="0" w:hanging="418" w:firstLineChars="0"/>
        <w:textAlignment w:val="auto"/>
        <w:rPr>
          <w:rFonts w:hint="default"/>
        </w:rPr>
      </w:pPr>
      <w:r>
        <w:rPr>
          <w:rFonts w:hint="default"/>
          <w:lang w:val="en-US"/>
        </w:rPr>
        <w:t>Fumigation</w:t>
      </w:r>
    </w:p>
    <w:p w14:paraId="7A23C37B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18" w:leftChars="0" w:hanging="418" w:firstLineChars="0"/>
        <w:textAlignment w:val="auto"/>
        <w:rPr>
          <w:rFonts w:hint="default"/>
        </w:rPr>
      </w:pPr>
      <w:r>
        <w:rPr>
          <w:rFonts w:hint="default"/>
        </w:rPr>
        <w:t>Port/ airport demurrage &amp; detention</w:t>
      </w:r>
    </w:p>
    <w:p w14:paraId="440CBC7A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18" w:leftChars="0" w:hanging="418" w:firstLineChars="0"/>
        <w:textAlignment w:val="auto"/>
        <w:rPr>
          <w:rFonts w:hint="default"/>
        </w:rPr>
      </w:pPr>
      <w:r>
        <w:rPr>
          <w:rFonts w:hint="default"/>
        </w:rPr>
        <w:t>Difficult access, basement fee, shuttle service, parking fee</w:t>
      </w:r>
    </w:p>
    <w:p w14:paraId="0F5801B2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18" w:leftChars="0" w:hanging="418" w:firstLineChars="0"/>
        <w:textAlignment w:val="auto"/>
        <w:rPr>
          <w:rFonts w:hint="default"/>
        </w:rPr>
      </w:pPr>
      <w:r>
        <w:rPr>
          <w:rFonts w:hint="default"/>
        </w:rPr>
        <w:t>Weekend/ holiday unpacking/ overtime</w:t>
      </w:r>
    </w:p>
    <w:p w14:paraId="5D9687A0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18" w:leftChars="0" w:hanging="418" w:firstLineChars="0"/>
        <w:textAlignment w:val="auto"/>
        <w:rPr>
          <w:rFonts w:hint="default"/>
        </w:rPr>
      </w:pPr>
      <w:r>
        <w:rPr>
          <w:rFonts w:hint="default"/>
        </w:rPr>
        <w:t>Handyman service, heavy items</w:t>
      </w:r>
    </w:p>
    <w:p w14:paraId="00F683DD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18" w:leftChars="0" w:hanging="418" w:firstLineChars="0"/>
        <w:textAlignment w:val="auto"/>
        <w:rPr>
          <w:rFonts w:hint="default"/>
        </w:rPr>
      </w:pPr>
      <w:r>
        <w:rPr>
          <w:rFonts w:hint="default"/>
        </w:rPr>
        <w:t>Counting each item</w:t>
      </w:r>
    </w:p>
    <w:p w14:paraId="20BD2270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18" w:leftChars="0" w:hanging="418" w:firstLineChars="0"/>
        <w:textAlignment w:val="auto"/>
        <w:rPr>
          <w:rFonts w:hint="default"/>
        </w:rPr>
      </w:pPr>
      <w:r>
        <w:rPr>
          <w:rFonts w:hint="default"/>
        </w:rPr>
        <w:t xml:space="preserve">Any </w:t>
      </w:r>
      <w:r>
        <w:rPr>
          <w:rFonts w:hint="default"/>
          <w:lang w:val="en-US"/>
        </w:rPr>
        <w:t>special</w:t>
      </w:r>
      <w:r>
        <w:rPr>
          <w:rFonts w:hint="default"/>
        </w:rPr>
        <w:t xml:space="preserve"> requirements</w:t>
      </w:r>
    </w:p>
    <w:p w14:paraId="39DCD80F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18" w:leftChars="0" w:hanging="418" w:firstLineChars="0"/>
        <w:textAlignment w:val="auto"/>
        <w:rPr>
          <w:rFonts w:hint="default"/>
        </w:rPr>
      </w:pPr>
      <w:r>
        <w:rPr>
          <w:rFonts w:hint="default"/>
        </w:rPr>
        <w:t>Accessorial charges</w:t>
      </w:r>
      <w:r>
        <w:rPr>
          <w:rFonts w:hint="default"/>
          <w:lang w:val="en-US"/>
        </w:rPr>
        <w:t xml:space="preserve"> </w:t>
      </w:r>
      <w:r>
        <w:rPr>
          <w:rFonts w:hint="default"/>
          <w:i/>
          <w:iCs/>
          <w:lang w:val="en-US"/>
        </w:rPr>
        <w:t>(see the list)</w:t>
      </w:r>
    </w:p>
    <w:p w14:paraId="5D656512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18" w:leftChars="0" w:hanging="418" w:firstLineChars="0"/>
        <w:textAlignment w:val="auto"/>
        <w:rPr>
          <w:rFonts w:hint="default"/>
          <w:b w:val="0"/>
          <w:bCs w:val="0"/>
          <w:i w:val="0"/>
          <w:iCs w:val="0"/>
        </w:rPr>
      </w:pPr>
      <w:r>
        <w:rPr>
          <w:rFonts w:hint="default"/>
          <w:b w:val="0"/>
          <w:bCs w:val="0"/>
          <w:i w:val="0"/>
          <w:iCs w:val="0"/>
          <w:lang w:val="en-US"/>
        </w:rPr>
        <w:t>Bank charge of US$40.00</w:t>
      </w:r>
    </w:p>
    <w:p w14:paraId="134AE4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/>
          <w:b/>
          <w:bCs/>
        </w:rPr>
      </w:pPr>
    </w:p>
    <w:p w14:paraId="588F9CD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00" w:leftChars="0"/>
        <w:textAlignment w:val="auto"/>
        <w:rPr>
          <w:rFonts w:hint="default"/>
          <w:b/>
          <w:bCs/>
          <w:sz w:val="24"/>
          <w:szCs w:val="24"/>
          <w:lang w:val="en-US"/>
        </w:rPr>
      </w:pPr>
      <w:r>
        <w:rPr>
          <w:rFonts w:hint="default"/>
          <w:b/>
          <w:bCs/>
          <w:sz w:val="24"/>
          <w:szCs w:val="24"/>
          <w:lang w:val="en-US"/>
        </w:rPr>
        <w:t>Estimated Port charge at Origin:</w:t>
      </w:r>
    </w:p>
    <w:p w14:paraId="19AC1E3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00" w:leftChars="0"/>
        <w:textAlignment w:val="auto"/>
        <w:rPr>
          <w:rFonts w:hint="default"/>
          <w:b/>
          <w:bCs/>
          <w:sz w:val="24"/>
          <w:szCs w:val="24"/>
          <w:lang w:val="en-US"/>
        </w:rPr>
      </w:pPr>
    </w:p>
    <w:p w14:paraId="0F7AA316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18" w:leftChars="0" w:hanging="418" w:firstLineChars="0"/>
        <w:textAlignment w:val="auto"/>
        <w:rPr>
          <w:rFonts w:hint="default"/>
          <w:lang w:val="en-US"/>
        </w:rPr>
      </w:pPr>
      <w:r>
        <w:rPr>
          <w:rFonts w:hint="default"/>
          <w:lang w:val="en-US"/>
        </w:rPr>
        <w:t xml:space="preserve">Air shipment: </w:t>
      </w:r>
      <w:r>
        <w:rPr>
          <w:rFonts w:hint="default"/>
          <w:lang w:val="en-US"/>
        </w:rPr>
        <w:tab/>
      </w:r>
      <w:r>
        <w:rPr>
          <w:rFonts w:hint="default"/>
          <w:lang w:val="en-US"/>
        </w:rPr>
        <w:tab/>
      </w:r>
      <w:r>
        <w:rPr>
          <w:rFonts w:hint="default"/>
          <w:lang w:val="en-US"/>
        </w:rPr>
        <w:t>US$0.2 per acw kgs</w:t>
      </w:r>
    </w:p>
    <w:p w14:paraId="1778388C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18" w:leftChars="0" w:hanging="418" w:firstLineChars="0"/>
        <w:textAlignment w:val="auto"/>
        <w:rPr>
          <w:rFonts w:hint="default"/>
          <w:lang w:val="en-US"/>
        </w:rPr>
      </w:pPr>
      <w:r>
        <w:rPr>
          <w:rFonts w:hint="default"/>
          <w:lang w:val="en-US"/>
        </w:rPr>
        <w:t xml:space="preserve">LCL shipments: </w:t>
      </w:r>
      <w:r>
        <w:rPr>
          <w:rFonts w:hint="default"/>
          <w:lang w:val="en-US"/>
        </w:rPr>
        <w:tab/>
      </w:r>
      <w:r>
        <w:rPr>
          <w:rFonts w:hint="default"/>
          <w:lang w:val="en-US"/>
        </w:rPr>
        <w:tab/>
      </w:r>
      <w:r>
        <w:rPr>
          <w:rFonts w:hint="default"/>
          <w:lang w:val="en-US"/>
        </w:rPr>
        <w:t>US$5.00 per cbm</w:t>
      </w:r>
    </w:p>
    <w:p w14:paraId="01748BFA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18" w:leftChars="0" w:hanging="418" w:firstLineChars="0"/>
        <w:textAlignment w:val="auto"/>
        <w:rPr>
          <w:rFonts w:hint="default"/>
          <w:lang w:val="en-US"/>
        </w:rPr>
      </w:pPr>
      <w:r>
        <w:rPr>
          <w:rFonts w:hint="default"/>
          <w:lang w:val="en-US"/>
        </w:rPr>
        <w:t xml:space="preserve">FCL 1x20’ container: </w:t>
      </w:r>
      <w:r>
        <w:rPr>
          <w:rFonts w:hint="default"/>
          <w:lang w:val="en-US"/>
        </w:rPr>
        <w:tab/>
      </w:r>
      <w:r>
        <w:rPr>
          <w:rFonts w:hint="default"/>
          <w:lang w:val="en-US"/>
        </w:rPr>
        <w:t>US$100.00 - US$120.00 per container</w:t>
      </w:r>
    </w:p>
    <w:p w14:paraId="3ACB8721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18" w:leftChars="0" w:hanging="418" w:firstLineChars="0"/>
        <w:textAlignment w:val="auto"/>
        <w:rPr>
          <w:rFonts w:hint="default"/>
          <w:lang w:val="en-US"/>
        </w:rPr>
      </w:pPr>
      <w:r>
        <w:rPr>
          <w:rFonts w:hint="default"/>
          <w:lang w:val="en-US"/>
        </w:rPr>
        <w:t xml:space="preserve">FCL 1x40’ container: </w:t>
      </w:r>
      <w:r>
        <w:rPr>
          <w:rFonts w:hint="default"/>
          <w:lang w:val="en-US"/>
        </w:rPr>
        <w:tab/>
      </w:r>
      <w:r>
        <w:rPr>
          <w:rFonts w:hint="default"/>
          <w:lang w:val="en-US"/>
        </w:rPr>
        <w:t>US$120.00 - US$150.00 per container</w:t>
      </w:r>
    </w:p>
    <w:p w14:paraId="54E275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/>
          <w:sz w:val="24"/>
          <w:szCs w:val="24"/>
        </w:rPr>
      </w:pPr>
    </w:p>
    <w:p w14:paraId="6D5630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/>
          <w:sz w:val="24"/>
          <w:szCs w:val="24"/>
        </w:rPr>
      </w:pPr>
    </w:p>
    <w:p w14:paraId="56365E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/>
          <w:sz w:val="24"/>
          <w:szCs w:val="24"/>
        </w:rPr>
      </w:pPr>
    </w:p>
    <w:p w14:paraId="639B37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/>
          <w:sz w:val="24"/>
          <w:szCs w:val="24"/>
        </w:rPr>
      </w:pPr>
    </w:p>
    <w:p w14:paraId="30C3CE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/>
          <w:sz w:val="24"/>
          <w:szCs w:val="24"/>
        </w:rPr>
      </w:pPr>
    </w:p>
    <w:p w14:paraId="3B7BB3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/>
          <w:sz w:val="24"/>
          <w:szCs w:val="24"/>
        </w:rPr>
      </w:pPr>
    </w:p>
    <w:p w14:paraId="7081C7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/>
          <w:b/>
          <w:bCs/>
          <w:sz w:val="24"/>
          <w:szCs w:val="24"/>
          <w:lang w:val="en-US"/>
        </w:rPr>
      </w:pPr>
    </w:p>
    <w:p w14:paraId="002EA006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textAlignment w:val="auto"/>
        <w:rPr>
          <w:rFonts w:hint="default"/>
          <w:b/>
          <w:bCs/>
          <w:sz w:val="24"/>
          <w:szCs w:val="24"/>
          <w:u w:val="single"/>
          <w:lang w:val="en-US"/>
        </w:rPr>
      </w:pPr>
      <w:r>
        <w:rPr>
          <w:rFonts w:hint="default"/>
          <w:b/>
          <w:bCs/>
          <w:sz w:val="24"/>
          <w:szCs w:val="24"/>
          <w:u w:val="single"/>
          <w:lang w:val="en-US"/>
        </w:rPr>
        <w:t>ACCESSORIAL CHARGES</w:t>
      </w:r>
    </w:p>
    <w:tbl>
      <w:tblPr>
        <w:tblStyle w:val="13"/>
        <w:tblpPr w:leftFromText="180" w:rightFromText="180" w:vertAnchor="text" w:horzAnchor="page" w:tblpX="1094" w:tblpY="508"/>
        <w:tblOverlap w:val="never"/>
        <w:tblW w:w="101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6"/>
        <w:gridCol w:w="1216"/>
        <w:gridCol w:w="1211"/>
        <w:gridCol w:w="1741"/>
      </w:tblGrid>
      <w:tr w14:paraId="77F8A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5956" w:type="dxa"/>
            <w:vAlign w:val="center"/>
          </w:tcPr>
          <w:p w14:paraId="3DB923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/>
                <w:b/>
                <w:bCs/>
                <w:color w:val="215968" w:themeColor="accent5" w:themeShade="8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color w:val="215968" w:themeColor="accent5" w:themeShade="80"/>
                <w:sz w:val="22"/>
                <w:szCs w:val="22"/>
                <w:vertAlign w:val="baseline"/>
                <w:lang w:val="en-US"/>
              </w:rPr>
              <w:t>Services Description</w:t>
            </w:r>
          </w:p>
        </w:tc>
        <w:tc>
          <w:tcPr>
            <w:tcW w:w="1216" w:type="dxa"/>
            <w:vAlign w:val="center"/>
          </w:tcPr>
          <w:p w14:paraId="25D75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/>
                <w:b/>
                <w:bCs/>
                <w:color w:val="215968" w:themeColor="accent5" w:themeShade="8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color w:val="215968" w:themeColor="accent5" w:themeShade="80"/>
                <w:sz w:val="22"/>
                <w:szCs w:val="22"/>
                <w:vertAlign w:val="baseline"/>
                <w:lang w:val="en-US"/>
              </w:rPr>
              <w:t>Unit</w:t>
            </w:r>
          </w:p>
        </w:tc>
        <w:tc>
          <w:tcPr>
            <w:tcW w:w="1211" w:type="dxa"/>
            <w:vAlign w:val="center"/>
          </w:tcPr>
          <w:p w14:paraId="7375D2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/>
                <w:b/>
                <w:bCs/>
                <w:color w:val="215968" w:themeColor="accent5" w:themeShade="8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color w:val="215968" w:themeColor="accent5" w:themeShade="80"/>
                <w:sz w:val="22"/>
                <w:szCs w:val="22"/>
                <w:vertAlign w:val="baseline"/>
                <w:lang w:val="en-US"/>
              </w:rPr>
              <w:t>Charge</w:t>
            </w:r>
          </w:p>
        </w:tc>
        <w:tc>
          <w:tcPr>
            <w:tcW w:w="1741" w:type="dxa"/>
            <w:vAlign w:val="center"/>
          </w:tcPr>
          <w:p w14:paraId="0F28D5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/>
                <w:b/>
                <w:bCs/>
                <w:color w:val="215968" w:themeColor="accent5" w:themeShade="8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color w:val="215968" w:themeColor="accent5" w:themeShade="80"/>
                <w:sz w:val="22"/>
                <w:szCs w:val="22"/>
                <w:vertAlign w:val="baseline"/>
                <w:lang w:val="en-US"/>
              </w:rPr>
              <w:t>Remarks</w:t>
            </w:r>
          </w:p>
        </w:tc>
      </w:tr>
      <w:tr w14:paraId="49650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5956" w:type="dxa"/>
            <w:tcBorders>
              <w:bottom w:val="dashSmallGap" w:color="auto" w:sz="4" w:space="0"/>
              <w:right w:val="single" w:color="auto" w:sz="4" w:space="0"/>
            </w:tcBorders>
            <w:vAlign w:val="top"/>
          </w:tcPr>
          <w:p w14:paraId="00A5DF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  <w:t>Pick-up/ Return empty container</w:t>
            </w:r>
          </w:p>
          <w:p w14:paraId="20128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i/>
                <w:iCs/>
                <w:sz w:val="22"/>
                <w:szCs w:val="22"/>
                <w:vertAlign w:val="baseline"/>
                <w:lang w:val="en-US"/>
              </w:rPr>
              <w:t>at Port/ depot out of HCM center, double check with us in advance</w:t>
            </w:r>
          </w:p>
        </w:tc>
        <w:tc>
          <w:tcPr>
            <w:tcW w:w="1216" w:type="dxa"/>
            <w:tcBorders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14:paraId="1149D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en-US"/>
              </w:rPr>
              <w:t>Container</w:t>
            </w:r>
          </w:p>
        </w:tc>
        <w:tc>
          <w:tcPr>
            <w:tcW w:w="1211" w:type="dxa"/>
            <w:tcBorders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14:paraId="71010B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  <w:t>40.00</w:t>
            </w:r>
          </w:p>
        </w:tc>
        <w:tc>
          <w:tcPr>
            <w:tcW w:w="1741" w:type="dxa"/>
            <w:tcBorders>
              <w:left w:val="single" w:color="auto" w:sz="4" w:space="0"/>
              <w:bottom w:val="dashSmallGap" w:color="auto" w:sz="4" w:space="0"/>
            </w:tcBorders>
            <w:vAlign w:val="top"/>
          </w:tcPr>
          <w:p w14:paraId="5A450D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</w:p>
        </w:tc>
      </w:tr>
      <w:tr w14:paraId="1060F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5956" w:type="dxa"/>
            <w:tcBorders>
              <w:top w:val="dashSmallGap" w:color="auto" w:sz="4" w:space="0"/>
              <w:bottom w:val="dashSmallGap" w:color="auto" w:sz="4" w:space="0"/>
              <w:right w:val="single" w:color="auto" w:sz="4" w:space="0"/>
            </w:tcBorders>
            <w:vAlign w:val="top"/>
          </w:tcPr>
          <w:p w14:paraId="15218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  <w:t>Pick-up/ Return empty container</w:t>
            </w:r>
          </w:p>
          <w:p w14:paraId="08242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i/>
                <w:iCs/>
                <w:sz w:val="22"/>
                <w:szCs w:val="22"/>
                <w:vertAlign w:val="baseline"/>
                <w:lang w:val="en-US"/>
              </w:rPr>
              <w:t>Fee for change to Port/ depot in HCM center</w:t>
            </w:r>
          </w:p>
        </w:tc>
        <w:tc>
          <w:tcPr>
            <w:tcW w:w="1216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14:paraId="341395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en-US"/>
              </w:rPr>
              <w:t>Container</w:t>
            </w:r>
          </w:p>
        </w:tc>
        <w:tc>
          <w:tcPr>
            <w:tcW w:w="1211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14:paraId="5F85E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  <w:t>30.00</w:t>
            </w:r>
          </w:p>
        </w:tc>
        <w:tc>
          <w:tcPr>
            <w:tcW w:w="1741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</w:tcBorders>
            <w:vAlign w:val="top"/>
          </w:tcPr>
          <w:p w14:paraId="0CC55A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</w:p>
        </w:tc>
      </w:tr>
      <w:tr w14:paraId="7F74A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0124" w:type="dxa"/>
            <w:gridSpan w:val="4"/>
            <w:tcBorders>
              <w:top w:val="dashSmallGap" w:color="auto" w:sz="4" w:space="0"/>
              <w:bottom w:val="dashSmallGap" w:color="auto" w:sz="4" w:space="0"/>
            </w:tcBorders>
            <w:vAlign w:val="top"/>
          </w:tcPr>
          <w:p w14:paraId="1FE069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  <w:t>Fumigation</w:t>
            </w:r>
          </w:p>
        </w:tc>
      </w:tr>
      <w:tr w14:paraId="59A25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5956" w:type="dxa"/>
            <w:tcBorders>
              <w:top w:val="dashSmallGap" w:color="auto" w:sz="4" w:space="0"/>
              <w:bottom w:val="dashSmallGap" w:color="auto" w:sz="4" w:space="0"/>
              <w:right w:val="single" w:color="auto" w:sz="4" w:space="0"/>
            </w:tcBorders>
            <w:vAlign w:val="top"/>
          </w:tcPr>
          <w:p w14:paraId="280DA1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en-US"/>
              </w:rPr>
              <w:t>USA fumigation (80grams)</w:t>
            </w:r>
          </w:p>
        </w:tc>
        <w:tc>
          <w:tcPr>
            <w:tcW w:w="2427" w:type="dxa"/>
            <w:gridSpan w:val="2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14:paraId="10468D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  <w:t>55.00/ 70.00/ 85.00</w:t>
            </w:r>
          </w:p>
        </w:tc>
        <w:tc>
          <w:tcPr>
            <w:tcW w:w="1741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</w:tcBorders>
            <w:vAlign w:val="top"/>
          </w:tcPr>
          <w:p w14:paraId="636289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/>
                <w:i/>
                <w:i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i/>
                <w:iCs/>
                <w:sz w:val="22"/>
                <w:szCs w:val="22"/>
                <w:vertAlign w:val="baseline"/>
                <w:lang w:val="en-US"/>
              </w:rPr>
              <w:t>LCL/ 1x20/ 1x40</w:t>
            </w:r>
          </w:p>
        </w:tc>
      </w:tr>
      <w:tr w14:paraId="3D635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956" w:type="dxa"/>
            <w:tcBorders>
              <w:top w:val="dashSmallGap" w:color="auto" w:sz="4" w:space="0"/>
              <w:bottom w:val="dashSmallGap" w:color="auto" w:sz="4" w:space="0"/>
              <w:right w:val="single" w:color="auto" w:sz="4" w:space="0"/>
            </w:tcBorders>
            <w:vAlign w:val="top"/>
          </w:tcPr>
          <w:p w14:paraId="3DF36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en-US"/>
              </w:rPr>
              <w:t>AUS fumigation (AQIS Standard)</w:t>
            </w:r>
          </w:p>
        </w:tc>
        <w:tc>
          <w:tcPr>
            <w:tcW w:w="2427" w:type="dxa"/>
            <w:gridSpan w:val="2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14:paraId="3F95A2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  <w:t>100.00/ 310.00/450.00</w:t>
            </w:r>
          </w:p>
        </w:tc>
        <w:tc>
          <w:tcPr>
            <w:tcW w:w="1741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</w:tcBorders>
            <w:vAlign w:val="top"/>
          </w:tcPr>
          <w:p w14:paraId="352A81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/>
                <w:i/>
                <w:i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i/>
                <w:iCs/>
                <w:sz w:val="22"/>
                <w:szCs w:val="22"/>
                <w:vertAlign w:val="baseline"/>
                <w:lang w:val="en-US"/>
              </w:rPr>
              <w:t>LCL/ 1x20/ 1x40</w:t>
            </w:r>
          </w:p>
        </w:tc>
      </w:tr>
      <w:tr w14:paraId="6ABFC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5956" w:type="dxa"/>
            <w:tcBorders>
              <w:top w:val="dashSmallGap" w:color="auto" w:sz="4" w:space="0"/>
              <w:bottom w:val="dashSmallGap" w:color="auto" w:sz="4" w:space="0"/>
              <w:right w:val="single" w:color="auto" w:sz="4" w:space="0"/>
            </w:tcBorders>
            <w:vAlign w:val="top"/>
          </w:tcPr>
          <w:p w14:paraId="6978FA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  <w:t>Crating</w:t>
            </w:r>
          </w:p>
        </w:tc>
        <w:tc>
          <w:tcPr>
            <w:tcW w:w="1216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14:paraId="5E8B40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en-US"/>
              </w:rPr>
              <w:t>Cbm</w:t>
            </w:r>
          </w:p>
        </w:tc>
        <w:tc>
          <w:tcPr>
            <w:tcW w:w="1211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14:paraId="23E5D5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  <w:t>60.00</w:t>
            </w:r>
          </w:p>
        </w:tc>
        <w:tc>
          <w:tcPr>
            <w:tcW w:w="1741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</w:tcBorders>
            <w:vAlign w:val="top"/>
          </w:tcPr>
          <w:p w14:paraId="3B480D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/>
                <w:i/>
                <w:i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i/>
                <w:iCs/>
                <w:sz w:val="22"/>
                <w:szCs w:val="22"/>
                <w:vertAlign w:val="baseline"/>
                <w:lang w:val="en-US"/>
              </w:rPr>
              <w:t>Min. US$60.00</w:t>
            </w:r>
          </w:p>
        </w:tc>
      </w:tr>
      <w:tr w14:paraId="407DB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5956" w:type="dxa"/>
            <w:tcBorders>
              <w:top w:val="dashSmallGap" w:color="auto" w:sz="4" w:space="0"/>
              <w:bottom w:val="dashSmallGap" w:color="auto" w:sz="4" w:space="0"/>
              <w:right w:val="single" w:color="auto" w:sz="4" w:space="0"/>
            </w:tcBorders>
            <w:vAlign w:val="top"/>
          </w:tcPr>
          <w:p w14:paraId="241B26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  <w:t>Shuttle fee</w:t>
            </w:r>
          </w:p>
        </w:tc>
        <w:tc>
          <w:tcPr>
            <w:tcW w:w="1216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14:paraId="3E336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en-US"/>
              </w:rPr>
              <w:t>cbm</w:t>
            </w:r>
          </w:p>
        </w:tc>
        <w:tc>
          <w:tcPr>
            <w:tcW w:w="1211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14:paraId="3AE9D2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  <w:t>5.00</w:t>
            </w:r>
          </w:p>
        </w:tc>
        <w:tc>
          <w:tcPr>
            <w:tcW w:w="1741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</w:tcBorders>
            <w:vAlign w:val="center"/>
          </w:tcPr>
          <w:p w14:paraId="3AC8E1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/>
                <w:i/>
                <w:i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i/>
                <w:iCs/>
                <w:sz w:val="22"/>
                <w:szCs w:val="22"/>
                <w:vertAlign w:val="baseline"/>
                <w:lang w:val="en-US"/>
              </w:rPr>
              <w:t>Min. US$50.00</w:t>
            </w:r>
          </w:p>
        </w:tc>
      </w:tr>
      <w:tr w14:paraId="78102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5956" w:type="dxa"/>
            <w:tcBorders>
              <w:top w:val="dashSmallGap" w:color="auto" w:sz="4" w:space="0"/>
              <w:bottom w:val="dashSmallGap" w:color="auto" w:sz="4" w:space="0"/>
              <w:right w:val="single" w:color="auto" w:sz="4" w:space="0"/>
            </w:tcBorders>
            <w:vAlign w:val="top"/>
          </w:tcPr>
          <w:p w14:paraId="7D1DCA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  <w:t>Long carry</w:t>
            </w:r>
          </w:p>
          <w:p w14:paraId="366D3A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i/>
                <w:iCs/>
                <w:sz w:val="22"/>
                <w:szCs w:val="22"/>
                <w:vertAlign w:val="baseline"/>
                <w:lang w:val="en-US"/>
              </w:rPr>
              <w:t>from truck to elevator/ client door &gt;40meters</w:t>
            </w:r>
          </w:p>
        </w:tc>
        <w:tc>
          <w:tcPr>
            <w:tcW w:w="1216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14:paraId="227411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211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14:paraId="543626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  <w:t>5.00</w:t>
            </w:r>
          </w:p>
        </w:tc>
        <w:tc>
          <w:tcPr>
            <w:tcW w:w="1741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</w:tcBorders>
            <w:vAlign w:val="center"/>
          </w:tcPr>
          <w:p w14:paraId="0CFB86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/>
                <w:i/>
                <w:i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i/>
                <w:iCs/>
                <w:sz w:val="22"/>
                <w:szCs w:val="22"/>
                <w:vertAlign w:val="baseline"/>
                <w:lang w:val="en-US"/>
              </w:rPr>
              <w:t>Min. US$30.00</w:t>
            </w:r>
          </w:p>
        </w:tc>
      </w:tr>
      <w:tr w14:paraId="7DD54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5956" w:type="dxa"/>
            <w:tcBorders>
              <w:top w:val="dashSmallGap" w:color="auto" w:sz="4" w:space="0"/>
              <w:bottom w:val="dashSmallGap" w:color="auto" w:sz="4" w:space="0"/>
              <w:right w:val="single" w:color="auto" w:sz="4" w:space="0"/>
            </w:tcBorders>
            <w:vAlign w:val="top"/>
          </w:tcPr>
          <w:p w14:paraId="784F7F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  <w:t>Stair carry</w:t>
            </w:r>
            <w:r>
              <w:rPr>
                <w:rFonts w:hint="default"/>
                <w:sz w:val="22"/>
                <w:szCs w:val="22"/>
                <w:vertAlign w:val="baseline"/>
                <w:lang w:val="en-US"/>
              </w:rPr>
              <w:t xml:space="preserve"> </w:t>
            </w:r>
            <w:r>
              <w:rPr>
                <w:rFonts w:hint="default"/>
                <w:i/>
                <w:iCs/>
                <w:sz w:val="22"/>
                <w:szCs w:val="22"/>
                <w:vertAlign w:val="baseline"/>
                <w:lang w:val="en-US"/>
              </w:rPr>
              <w:t>(from the 3</w:t>
            </w:r>
            <w:r>
              <w:rPr>
                <w:rFonts w:hint="default"/>
                <w:i/>
                <w:iCs/>
                <w:sz w:val="22"/>
                <w:szCs w:val="22"/>
                <w:vertAlign w:val="superscript"/>
                <w:lang w:val="en-US"/>
              </w:rPr>
              <w:t>rd</w:t>
            </w:r>
            <w:r>
              <w:rPr>
                <w:rFonts w:hint="default"/>
                <w:i/>
                <w:iCs/>
                <w:sz w:val="22"/>
                <w:szCs w:val="22"/>
                <w:vertAlign w:val="baseline"/>
                <w:lang w:val="en-US"/>
              </w:rPr>
              <w:t xml:space="preserve"> floor)</w:t>
            </w:r>
          </w:p>
        </w:tc>
        <w:tc>
          <w:tcPr>
            <w:tcW w:w="1216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14:paraId="0E66B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en-US"/>
              </w:rPr>
              <w:t>cbm</w:t>
            </w:r>
          </w:p>
        </w:tc>
        <w:tc>
          <w:tcPr>
            <w:tcW w:w="1211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14:paraId="068A55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  <w:t>5.00</w:t>
            </w:r>
          </w:p>
        </w:tc>
        <w:tc>
          <w:tcPr>
            <w:tcW w:w="1741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</w:tcBorders>
            <w:vAlign w:val="center"/>
          </w:tcPr>
          <w:p w14:paraId="422C9A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/>
                <w:i/>
                <w:i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i/>
                <w:iCs/>
                <w:sz w:val="22"/>
                <w:szCs w:val="22"/>
                <w:vertAlign w:val="baseline"/>
                <w:lang w:val="en-US"/>
              </w:rPr>
              <w:t>Min. US$30.00</w:t>
            </w:r>
          </w:p>
        </w:tc>
      </w:tr>
      <w:tr w14:paraId="36B8A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5956" w:type="dxa"/>
            <w:tcBorders>
              <w:top w:val="dashSmallGap" w:color="auto" w:sz="4" w:space="0"/>
              <w:bottom w:val="dashSmallGap" w:color="auto" w:sz="4" w:space="0"/>
              <w:right w:val="single" w:color="auto" w:sz="4" w:space="0"/>
            </w:tcBorders>
            <w:vAlign w:val="top"/>
          </w:tcPr>
          <w:p w14:paraId="0C3542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  <w:t xml:space="preserve">Handy man for hanging paintings/ Overtime </w:t>
            </w:r>
          </w:p>
        </w:tc>
        <w:tc>
          <w:tcPr>
            <w:tcW w:w="1216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14:paraId="4B9400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en-US"/>
              </w:rPr>
              <w:t>Hour/man</w:t>
            </w:r>
          </w:p>
        </w:tc>
        <w:tc>
          <w:tcPr>
            <w:tcW w:w="1211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14:paraId="31A396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  <w:t>10.00</w:t>
            </w:r>
          </w:p>
        </w:tc>
        <w:tc>
          <w:tcPr>
            <w:tcW w:w="1741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</w:tcBorders>
            <w:vAlign w:val="center"/>
          </w:tcPr>
          <w:p w14:paraId="3B0A0D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/>
                <w:i/>
                <w:i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i/>
                <w:iCs/>
                <w:sz w:val="22"/>
                <w:szCs w:val="22"/>
                <w:vertAlign w:val="baseline"/>
                <w:lang w:val="en-US"/>
              </w:rPr>
              <w:t>Min. US$50.00</w:t>
            </w:r>
          </w:p>
        </w:tc>
      </w:tr>
      <w:tr w14:paraId="5B48E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5956" w:type="dxa"/>
            <w:tcBorders>
              <w:top w:val="dashSmallGap" w:color="auto" w:sz="4" w:space="0"/>
              <w:bottom w:val="dashSmallGap" w:color="auto" w:sz="4" w:space="0"/>
              <w:right w:val="single" w:color="auto" w:sz="4" w:space="0"/>
            </w:tcBorders>
            <w:vAlign w:val="top"/>
          </w:tcPr>
          <w:p w14:paraId="3BD1D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  <w:t>Weekend</w:t>
            </w:r>
            <w:r>
              <w:rPr>
                <w:rFonts w:hint="default"/>
                <w:sz w:val="22"/>
                <w:szCs w:val="22"/>
                <w:vertAlign w:val="baseline"/>
                <w:lang w:val="en-US"/>
              </w:rPr>
              <w:t>: Saturday, Sunday, holidays</w:t>
            </w:r>
          </w:p>
        </w:tc>
        <w:tc>
          <w:tcPr>
            <w:tcW w:w="1216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14:paraId="5FE4ED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en-US"/>
              </w:rPr>
              <w:t>Hour/man</w:t>
            </w:r>
          </w:p>
        </w:tc>
        <w:tc>
          <w:tcPr>
            <w:tcW w:w="1211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14:paraId="65B8A3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  <w:t>12.00</w:t>
            </w:r>
          </w:p>
        </w:tc>
        <w:tc>
          <w:tcPr>
            <w:tcW w:w="1741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</w:tcBorders>
            <w:vAlign w:val="center"/>
          </w:tcPr>
          <w:p w14:paraId="0DCCBB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/>
                <w:i/>
                <w:i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i/>
                <w:iCs/>
                <w:sz w:val="22"/>
                <w:szCs w:val="22"/>
                <w:vertAlign w:val="baseline"/>
                <w:lang w:val="en-US"/>
              </w:rPr>
              <w:t>Min. US$60.00</w:t>
            </w:r>
          </w:p>
        </w:tc>
      </w:tr>
      <w:tr w14:paraId="657F8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5956" w:type="dxa"/>
            <w:tcBorders>
              <w:top w:val="dashSmallGap" w:color="auto" w:sz="4" w:space="0"/>
              <w:bottom w:val="dashSmallGap" w:color="auto" w:sz="4" w:space="0"/>
              <w:right w:val="single" w:color="auto" w:sz="4" w:space="0"/>
            </w:tcBorders>
            <w:vAlign w:val="top"/>
          </w:tcPr>
          <w:p w14:paraId="4E83D1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  <w:t>Assembly new items; dis-/ reassembly Ikea/ difficult Furniture</w:t>
            </w:r>
          </w:p>
        </w:tc>
        <w:tc>
          <w:tcPr>
            <w:tcW w:w="1216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14:paraId="3D218A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en-US"/>
              </w:rPr>
              <w:t>item</w:t>
            </w:r>
          </w:p>
        </w:tc>
        <w:tc>
          <w:tcPr>
            <w:tcW w:w="1211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14:paraId="51F80A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  <w:t>45.00</w:t>
            </w:r>
          </w:p>
          <w:p w14:paraId="78EEB5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741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</w:tcBorders>
            <w:vAlign w:val="top"/>
          </w:tcPr>
          <w:p w14:paraId="02704D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</w:p>
        </w:tc>
      </w:tr>
      <w:tr w14:paraId="7878A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5956" w:type="dxa"/>
            <w:tcBorders>
              <w:top w:val="dashSmallGap" w:color="auto" w:sz="4" w:space="0"/>
              <w:bottom w:val="dashSmallGap" w:color="auto" w:sz="4" w:space="0"/>
              <w:right w:val="single" w:color="auto" w:sz="4" w:space="0"/>
            </w:tcBorders>
            <w:vAlign w:val="top"/>
          </w:tcPr>
          <w:p w14:paraId="74CA3F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  <w:t>Heavy items handling</w:t>
            </w:r>
          </w:p>
        </w:tc>
        <w:tc>
          <w:tcPr>
            <w:tcW w:w="1216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14:paraId="72B464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en-US"/>
              </w:rPr>
              <w:t>item</w:t>
            </w:r>
          </w:p>
        </w:tc>
        <w:tc>
          <w:tcPr>
            <w:tcW w:w="1211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14:paraId="0BD702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  <w:t>100.00</w:t>
            </w:r>
          </w:p>
        </w:tc>
        <w:tc>
          <w:tcPr>
            <w:tcW w:w="1741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</w:tcBorders>
            <w:vAlign w:val="top"/>
          </w:tcPr>
          <w:p w14:paraId="4AF8ED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</w:p>
        </w:tc>
      </w:tr>
      <w:tr w14:paraId="0D36F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0124" w:type="dxa"/>
            <w:gridSpan w:val="4"/>
            <w:tcBorders>
              <w:top w:val="dashSmallGap" w:color="auto" w:sz="4" w:space="0"/>
              <w:bottom w:val="dashSmallGap" w:color="auto" w:sz="4" w:space="0"/>
            </w:tcBorders>
            <w:vAlign w:val="top"/>
          </w:tcPr>
          <w:p w14:paraId="199F4C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  <w:t>Special heavy items handling</w:t>
            </w:r>
          </w:p>
        </w:tc>
      </w:tr>
      <w:tr w14:paraId="45F60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5956" w:type="dxa"/>
            <w:tcBorders>
              <w:top w:val="dashSmallGap" w:color="auto" w:sz="4" w:space="0"/>
              <w:bottom w:val="dashSmallGap" w:color="auto" w:sz="4" w:space="0"/>
              <w:right w:val="single" w:color="auto" w:sz="4" w:space="0"/>
            </w:tcBorders>
            <w:vAlign w:val="top"/>
          </w:tcPr>
          <w:p w14:paraId="71C1B8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en-US"/>
              </w:rPr>
              <w:t>Upright piano: 180-215kg</w:t>
            </w:r>
          </w:p>
        </w:tc>
        <w:tc>
          <w:tcPr>
            <w:tcW w:w="1216" w:type="dxa"/>
            <w:vMerge w:val="restart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14:paraId="53CF21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</w:p>
          <w:p w14:paraId="10581E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en-US"/>
              </w:rPr>
              <w:t>item</w:t>
            </w:r>
          </w:p>
          <w:p w14:paraId="379B9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211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top"/>
          </w:tcPr>
          <w:p w14:paraId="28CFE3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  <w:t>100.00</w:t>
            </w:r>
          </w:p>
        </w:tc>
        <w:tc>
          <w:tcPr>
            <w:tcW w:w="1741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</w:tcBorders>
            <w:vAlign w:val="top"/>
          </w:tcPr>
          <w:p w14:paraId="2D2F84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</w:p>
        </w:tc>
      </w:tr>
      <w:tr w14:paraId="57556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5956" w:type="dxa"/>
            <w:tcBorders>
              <w:top w:val="dashSmallGap" w:color="auto" w:sz="4" w:space="0"/>
              <w:bottom w:val="dashSmallGap" w:color="auto" w:sz="4" w:space="0"/>
              <w:right w:val="single" w:color="auto" w:sz="4" w:space="0"/>
            </w:tcBorders>
            <w:vAlign w:val="top"/>
          </w:tcPr>
          <w:p w14:paraId="2F9F49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en-US"/>
              </w:rPr>
              <w:t>Baby grand piano: 240kg</w:t>
            </w:r>
          </w:p>
        </w:tc>
        <w:tc>
          <w:tcPr>
            <w:tcW w:w="1216" w:type="dxa"/>
            <w:vMerge w:val="continue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14:paraId="2E4C23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211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top"/>
          </w:tcPr>
          <w:p w14:paraId="4FE566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  <w:t>250.00</w:t>
            </w:r>
          </w:p>
        </w:tc>
        <w:tc>
          <w:tcPr>
            <w:tcW w:w="1741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</w:tcBorders>
            <w:vAlign w:val="top"/>
          </w:tcPr>
          <w:p w14:paraId="5CF298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</w:p>
        </w:tc>
      </w:tr>
      <w:tr w14:paraId="7F209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5956" w:type="dxa"/>
            <w:tcBorders>
              <w:top w:val="dashSmallGap" w:color="auto" w:sz="4" w:space="0"/>
              <w:bottom w:val="dashSmallGap" w:color="auto" w:sz="4" w:space="0"/>
              <w:right w:val="single" w:color="auto" w:sz="4" w:space="0"/>
            </w:tcBorders>
            <w:vAlign w:val="top"/>
          </w:tcPr>
          <w:p w14:paraId="66D14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en-US"/>
              </w:rPr>
              <w:t>Grand piano: 400-500kg</w:t>
            </w:r>
          </w:p>
        </w:tc>
        <w:tc>
          <w:tcPr>
            <w:tcW w:w="1216" w:type="dxa"/>
            <w:vMerge w:val="continue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14:paraId="3E8241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211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top"/>
          </w:tcPr>
          <w:p w14:paraId="39B65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  <w:t>350.00</w:t>
            </w:r>
          </w:p>
        </w:tc>
        <w:tc>
          <w:tcPr>
            <w:tcW w:w="1741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</w:tcBorders>
            <w:vAlign w:val="top"/>
          </w:tcPr>
          <w:p w14:paraId="4C03CD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</w:p>
        </w:tc>
      </w:tr>
      <w:tr w14:paraId="73AB9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5956" w:type="dxa"/>
            <w:tcBorders>
              <w:top w:val="dashSmallGap" w:color="auto" w:sz="4" w:space="0"/>
              <w:bottom w:val="dashSmallGap" w:color="auto" w:sz="4" w:space="0"/>
              <w:right w:val="single" w:color="auto" w:sz="4" w:space="0"/>
            </w:tcBorders>
            <w:vAlign w:val="top"/>
          </w:tcPr>
          <w:p w14:paraId="31011C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en-US"/>
              </w:rPr>
              <w:t>Move Piano up/down 1 floor: handy man by stair</w:t>
            </w:r>
          </w:p>
        </w:tc>
        <w:tc>
          <w:tcPr>
            <w:tcW w:w="1216" w:type="dxa"/>
            <w:vMerge w:val="restart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14:paraId="52652C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en-US"/>
              </w:rPr>
              <w:t>floor</w:t>
            </w:r>
          </w:p>
        </w:tc>
        <w:tc>
          <w:tcPr>
            <w:tcW w:w="1211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top"/>
          </w:tcPr>
          <w:p w14:paraId="1A5AB5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  <w:t>50.00</w:t>
            </w:r>
          </w:p>
        </w:tc>
        <w:tc>
          <w:tcPr>
            <w:tcW w:w="1741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</w:tcBorders>
            <w:vAlign w:val="top"/>
          </w:tcPr>
          <w:p w14:paraId="3A4C1B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</w:p>
        </w:tc>
      </w:tr>
      <w:tr w14:paraId="39629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5956" w:type="dxa"/>
            <w:tcBorders>
              <w:top w:val="dashSmallGap" w:color="auto" w:sz="4" w:space="0"/>
              <w:bottom w:val="dashSmallGap" w:color="auto" w:sz="4" w:space="0"/>
              <w:right w:val="single" w:color="auto" w:sz="4" w:space="0"/>
            </w:tcBorders>
            <w:vAlign w:val="top"/>
          </w:tcPr>
          <w:p w14:paraId="266582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en-US"/>
              </w:rPr>
              <w:t>Move Piano up/down 1 floor: handy man by stair &amp; difficult access</w:t>
            </w:r>
          </w:p>
        </w:tc>
        <w:tc>
          <w:tcPr>
            <w:tcW w:w="1216" w:type="dxa"/>
            <w:vMerge w:val="continue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14:paraId="2AC908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211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14:paraId="0190D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  <w:t>90.00</w:t>
            </w:r>
          </w:p>
        </w:tc>
        <w:tc>
          <w:tcPr>
            <w:tcW w:w="1741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</w:tcBorders>
            <w:vAlign w:val="top"/>
          </w:tcPr>
          <w:p w14:paraId="16F45E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</w:p>
        </w:tc>
      </w:tr>
      <w:tr w14:paraId="2E749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5956" w:type="dxa"/>
            <w:tcBorders>
              <w:top w:val="dashSmallGap" w:color="auto" w:sz="4" w:space="0"/>
              <w:bottom w:val="dashSmallGap" w:color="auto" w:sz="4" w:space="0"/>
              <w:right w:val="single" w:color="auto" w:sz="4" w:space="0"/>
            </w:tcBorders>
            <w:vAlign w:val="top"/>
          </w:tcPr>
          <w:p w14:paraId="1D8096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en-US"/>
              </w:rPr>
              <w:t>Move Piano up/down 1 floor: handy man &amp; by crane/ scaffold …</w:t>
            </w:r>
          </w:p>
        </w:tc>
        <w:tc>
          <w:tcPr>
            <w:tcW w:w="1216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top"/>
          </w:tcPr>
          <w:p w14:paraId="086C4E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en-US"/>
              </w:rPr>
              <w:t>time</w:t>
            </w:r>
          </w:p>
        </w:tc>
        <w:tc>
          <w:tcPr>
            <w:tcW w:w="1211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top"/>
          </w:tcPr>
          <w:p w14:paraId="787DBF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  <w:t>200.00</w:t>
            </w:r>
          </w:p>
        </w:tc>
        <w:tc>
          <w:tcPr>
            <w:tcW w:w="1741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</w:tcBorders>
            <w:vAlign w:val="top"/>
          </w:tcPr>
          <w:p w14:paraId="295D65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</w:p>
        </w:tc>
      </w:tr>
      <w:tr w14:paraId="5DEF5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0124" w:type="dxa"/>
            <w:gridSpan w:val="4"/>
            <w:tcBorders>
              <w:top w:val="dashSmallGap" w:color="auto" w:sz="4" w:space="0"/>
              <w:bottom w:val="dashSmallGap" w:color="auto" w:sz="4" w:space="0"/>
            </w:tcBorders>
            <w:vAlign w:val="top"/>
          </w:tcPr>
          <w:p w14:paraId="058D07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  <w:t>Warehouse storage (pro-rate)</w:t>
            </w:r>
          </w:p>
        </w:tc>
      </w:tr>
      <w:tr w14:paraId="1F0B5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5956" w:type="dxa"/>
            <w:tcBorders>
              <w:top w:val="dashSmallGap" w:color="auto" w:sz="4" w:space="0"/>
              <w:bottom w:val="dashSmallGap" w:color="auto" w:sz="4" w:space="0"/>
              <w:right w:val="single" w:color="auto" w:sz="4" w:space="0"/>
            </w:tcBorders>
            <w:vAlign w:val="top"/>
          </w:tcPr>
          <w:p w14:paraId="1FE636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en-US"/>
              </w:rPr>
              <w:t>Storage in transit (</w:t>
            </w:r>
            <w:r>
              <w:rPr>
                <w:rFonts w:hint="default"/>
                <w:i/>
                <w:iCs/>
                <w:sz w:val="22"/>
                <w:szCs w:val="22"/>
                <w:vertAlign w:val="baseline"/>
                <w:lang w:val="en-US"/>
              </w:rPr>
              <w:t>&lt;2 months)</w:t>
            </w:r>
          </w:p>
        </w:tc>
        <w:tc>
          <w:tcPr>
            <w:tcW w:w="2427" w:type="dxa"/>
            <w:gridSpan w:val="2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14:paraId="26498C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  <w:t>12.00/cbm/month</w:t>
            </w:r>
          </w:p>
        </w:tc>
        <w:tc>
          <w:tcPr>
            <w:tcW w:w="1741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</w:tcBorders>
            <w:vAlign w:val="center"/>
          </w:tcPr>
          <w:p w14:paraId="53DC53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i/>
                <w:iCs/>
                <w:sz w:val="22"/>
                <w:szCs w:val="22"/>
                <w:vertAlign w:val="baseline"/>
                <w:lang w:val="en-US"/>
              </w:rPr>
              <w:t>Min. US$60.00</w:t>
            </w:r>
          </w:p>
        </w:tc>
      </w:tr>
      <w:tr w14:paraId="5DB35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0124" w:type="dxa"/>
            <w:gridSpan w:val="4"/>
            <w:tcBorders>
              <w:top w:val="dashSmallGap" w:color="auto" w:sz="4" w:space="0"/>
              <w:bottom w:val="dashSmallGap" w:color="auto" w:sz="4" w:space="0"/>
            </w:tcBorders>
            <w:vAlign w:val="top"/>
          </w:tcPr>
          <w:p w14:paraId="392B3C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/>
              </w:rPr>
              <w:t>Long term storage</w:t>
            </w:r>
            <w:r>
              <w:rPr>
                <w:rFonts w:hint="default"/>
                <w:sz w:val="22"/>
                <w:szCs w:val="22"/>
                <w:vertAlign w:val="baseline"/>
                <w:lang w:val="en-US"/>
              </w:rPr>
              <w:t xml:space="preserve"> </w:t>
            </w:r>
            <w:r>
              <w:rPr>
                <w:rFonts w:hint="default"/>
                <w:i/>
                <w:iCs/>
                <w:sz w:val="22"/>
                <w:szCs w:val="22"/>
                <w:vertAlign w:val="baseline"/>
                <w:lang w:val="en-US"/>
              </w:rPr>
              <w:t>(&gt; 2 months)</w:t>
            </w:r>
          </w:p>
        </w:tc>
      </w:tr>
      <w:tr w14:paraId="3F4E8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5956" w:type="dxa"/>
            <w:tcBorders>
              <w:top w:val="dashSmallGap" w:color="auto" w:sz="4" w:space="0"/>
              <w:bottom w:val="dashSmallGap" w:color="auto" w:sz="4" w:space="0"/>
              <w:right w:val="single" w:color="auto" w:sz="4" w:space="0"/>
            </w:tcBorders>
            <w:vAlign w:val="top"/>
          </w:tcPr>
          <w:p w14:paraId="248386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en-US"/>
              </w:rPr>
              <w:t>WH storage charge</w:t>
            </w:r>
          </w:p>
        </w:tc>
        <w:tc>
          <w:tcPr>
            <w:tcW w:w="2427" w:type="dxa"/>
            <w:gridSpan w:val="2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14:paraId="3D8455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  <w:t>7.00/cbm/ month</w:t>
            </w:r>
          </w:p>
        </w:tc>
        <w:tc>
          <w:tcPr>
            <w:tcW w:w="1741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</w:tcBorders>
            <w:vAlign w:val="center"/>
          </w:tcPr>
          <w:p w14:paraId="577D73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/>
                <w:i/>
                <w:i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i/>
                <w:iCs/>
                <w:sz w:val="22"/>
                <w:szCs w:val="22"/>
                <w:vertAlign w:val="baseline"/>
                <w:lang w:val="en-US"/>
              </w:rPr>
              <w:t>Min. US$35.00</w:t>
            </w:r>
          </w:p>
        </w:tc>
      </w:tr>
      <w:tr w14:paraId="0C725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5956" w:type="dxa"/>
            <w:tcBorders>
              <w:top w:val="dashSmallGap" w:color="auto" w:sz="4" w:space="0"/>
              <w:right w:val="single" w:color="auto" w:sz="4" w:space="0"/>
            </w:tcBorders>
            <w:vAlign w:val="top"/>
          </w:tcPr>
          <w:p w14:paraId="7F3D1E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en-US"/>
              </w:rPr>
              <w:t>WH handling charge</w:t>
            </w:r>
          </w:p>
        </w:tc>
        <w:tc>
          <w:tcPr>
            <w:tcW w:w="2427" w:type="dxa"/>
            <w:gridSpan w:val="2"/>
            <w:tcBorders>
              <w:top w:val="dashSmallGap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52AF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  <w:t>6.00/cbm/ month</w:t>
            </w:r>
          </w:p>
        </w:tc>
        <w:tc>
          <w:tcPr>
            <w:tcW w:w="1741" w:type="dxa"/>
            <w:tcBorders>
              <w:top w:val="dashSmallGap" w:color="auto" w:sz="4" w:space="0"/>
              <w:left w:val="single" w:color="auto" w:sz="4" w:space="0"/>
            </w:tcBorders>
            <w:vAlign w:val="center"/>
          </w:tcPr>
          <w:p w14:paraId="595BA0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/>
                <w:i/>
                <w:i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i/>
                <w:iCs/>
                <w:sz w:val="22"/>
                <w:szCs w:val="22"/>
                <w:vertAlign w:val="baseline"/>
                <w:lang w:val="en-US"/>
              </w:rPr>
              <w:t>Min. US$30.00</w:t>
            </w:r>
          </w:p>
        </w:tc>
      </w:tr>
    </w:tbl>
    <w:p w14:paraId="5ADDD6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/>
          <w:lang w:val="en-US"/>
        </w:rPr>
      </w:pPr>
    </w:p>
    <w:p w14:paraId="1D823D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/>
          <w:lang w:val="en-US"/>
        </w:rPr>
      </w:pPr>
      <w:r>
        <w:rPr>
          <w:rFonts w:hint="default"/>
          <w:lang w:val="en-US"/>
        </w:rPr>
        <w:object>
          <v:shape id="_x0000_i1025" o:spt="75" type="#_x0000_t75" style="height:25.55pt;width:465.7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Word.Document.12" ShapeID="_x0000_i1025" DrawAspect="Content" ObjectID="_1468075725" r:id="rId8">
            <o:LockedField>false</o:LockedField>
          </o:OLEObject>
        </w:object>
      </w:r>
    </w:p>
    <w:sectPr>
      <w:headerReference r:id="rId5" w:type="default"/>
      <w:footerReference r:id="rId6" w:type="default"/>
      <w:pgSz w:w="11907" w:h="16839"/>
      <w:pgMar w:top="86" w:right="1296" w:bottom="1296" w:left="1296" w:header="547" w:footer="46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3A9E72">
    <w:pPr>
      <w:pageBreakBefore w:val="0"/>
      <w:tabs>
        <w:tab w:val="center" w:pos="4680"/>
        <w:tab w:val="right" w:pos="9360"/>
      </w:tabs>
      <w:spacing w:after="0" w:line="240" w:lineRule="auto"/>
      <w:jc w:val="center"/>
      <w:rPr>
        <w:color w:val="595959"/>
        <w:sz w:val="20"/>
        <w:szCs w:val="20"/>
      </w:rPr>
    </w:pPr>
    <w:r>
      <w:fldChar w:fldCharType="begin"/>
    </w:r>
    <w:r>
      <w:instrText xml:space="preserve"> HYPERLINK "mailto:info@asia-relocation.com" \h </w:instrText>
    </w:r>
    <w:r>
      <w:fldChar w:fldCharType="separate"/>
    </w:r>
    <w:r>
      <w:rPr>
        <w:color w:val="1155CC"/>
        <w:sz w:val="20"/>
        <w:szCs w:val="20"/>
        <w:u w:val="single"/>
        <w:rtl w:val="0"/>
      </w:rPr>
      <w:t>info@asia-relocation.com</w:t>
    </w:r>
    <w:r>
      <w:rPr>
        <w:color w:val="1155CC"/>
        <w:sz w:val="20"/>
        <w:szCs w:val="20"/>
        <w:u w:val="single"/>
        <w:rtl w:val="0"/>
      </w:rPr>
      <w:fldChar w:fldCharType="end"/>
    </w:r>
    <w:r>
      <w:rPr>
        <w:sz w:val="20"/>
        <w:szCs w:val="20"/>
        <w:rtl w:val="0"/>
      </w:rPr>
      <w:t xml:space="preserve"> |</w:t>
    </w:r>
    <w:r>
      <w:rPr>
        <w:color w:val="595959"/>
        <w:sz w:val="20"/>
        <w:szCs w:val="20"/>
        <w:rtl w:val="0"/>
      </w:rPr>
      <w:t xml:space="preserve"> +</w:t>
    </w:r>
    <w:r>
      <w:rPr>
        <w:rFonts w:hint="default"/>
        <w:color w:val="595959"/>
        <w:sz w:val="20"/>
        <w:szCs w:val="20"/>
        <w:rtl w:val="0"/>
        <w:lang w:val="en-US"/>
      </w:rPr>
      <w:t>84 (0) 937 699 451</w:t>
    </w:r>
    <w:r>
      <w:rPr>
        <w:color w:val="595959"/>
        <w:sz w:val="20"/>
        <w:szCs w:val="20"/>
        <w:rtl w:val="0"/>
      </w:rPr>
      <w:t xml:space="preserve"> | </w:t>
    </w:r>
    <w:r>
      <w:fldChar w:fldCharType="begin"/>
    </w:r>
    <w:r>
      <w:instrText xml:space="preserve"> HYPERLINK "http://www.asia-relocation.com" \h </w:instrText>
    </w:r>
    <w:r>
      <w:fldChar w:fldCharType="separate"/>
    </w:r>
    <w:r>
      <w:rPr>
        <w:color w:val="1155CC"/>
        <w:sz w:val="20"/>
        <w:szCs w:val="20"/>
        <w:u w:val="single"/>
        <w:rtl w:val="0"/>
      </w:rPr>
      <w:t xml:space="preserve">www.asia-relocation.com </w:t>
    </w:r>
    <w:r>
      <w:rPr>
        <w:color w:val="1155CC"/>
        <w:sz w:val="20"/>
        <w:szCs w:val="20"/>
        <w:u w:val="single"/>
        <w:rtl w:val="0"/>
      </w:rPr>
      <w:fldChar w:fldCharType="end"/>
    </w:r>
    <w:r>
      <w:rPr>
        <w:color w:val="595959"/>
        <w:sz w:val="20"/>
        <w:szCs w:val="20"/>
        <w:rtl w:val="0"/>
      </w:rPr>
      <w:t xml:space="preserve">                  </w:t>
    </w:r>
  </w:p>
  <w:p w14:paraId="3CF61F73">
    <w:pPr>
      <w:pageBreakBefore w:val="0"/>
      <w:spacing w:after="0"/>
      <w:rPr>
        <w:rFonts w:ascii="Comic Sans MS" w:hAnsi="Comic Sans MS" w:eastAsia="Comic Sans MS" w:cs="Comic Sans MS"/>
        <w:color w:val="222222"/>
      </w:rPr>
    </w:pPr>
    <w:r>
      <w:pict>
        <v:rect id="_x0000_i1026" o:spt="1" style="height:1.5pt;width:0pt;" fillcolor="#A0A0A0" filled="t" stroked="f" coordsize="21600,21600" o:hr="t" o:hrstd="t" o:hralign="center">
          <v:path/>
          <v:fill on="t" focussize="0,0"/>
          <v:stroke on="f"/>
          <v:imagedata o:title=""/>
          <o:lock v:ext="edit"/>
          <w10:wrap type="none"/>
          <w10:anchorlock/>
        </v:rect>
      </w:pict>
    </w:r>
  </w:p>
  <w:p w14:paraId="21EC35FE">
    <w:pPr>
      <w:pageBreakBefore w:val="0"/>
      <w:spacing w:after="0"/>
      <w:rPr>
        <w:color w:val="595959"/>
        <w:sz w:val="20"/>
        <w:szCs w:val="20"/>
      </w:rPr>
    </w:pPr>
  </w:p>
  <w:p w14:paraId="0869587D">
    <w:pPr>
      <w:pageBreakBefore w:val="0"/>
      <w:spacing w:after="0"/>
      <w:jc w:val="center"/>
      <w:rPr>
        <w:b/>
      </w:rPr>
    </w:pPr>
    <w:r>
      <w:rPr>
        <w:b/>
        <w:rtl w:val="0"/>
      </w:rPr>
      <w:t>Member of:</w:t>
    </w:r>
  </w:p>
  <w:p w14:paraId="3BF4C498">
    <w:pPr>
      <w:pageBreakBefore w:val="0"/>
      <w:tabs>
        <w:tab w:val="center" w:pos="4680"/>
        <w:tab w:val="right" w:pos="9360"/>
      </w:tabs>
      <w:spacing w:after="0" w:line="240" w:lineRule="auto"/>
      <w:jc w:val="center"/>
      <w:rPr>
        <w:rFonts w:ascii="Comic Sans MS" w:hAnsi="Comic Sans MS" w:eastAsia="Comic Sans MS" w:cs="Comic Sans MS"/>
        <w:color w:val="222222"/>
      </w:rPr>
    </w:pPr>
    <w:r>
      <w:rPr>
        <w:sz w:val="20"/>
        <w:szCs w:val="20"/>
      </w:rPr>
      <w:drawing>
        <wp:inline distT="114300" distB="114300" distL="114300" distR="114300">
          <wp:extent cx="3642995" cy="615950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43313" cy="6162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0CE72F">
    <w:pPr>
      <w:pageBreakBefore w:val="0"/>
      <w:tabs>
        <w:tab w:val="center" w:pos="4680"/>
        <w:tab w:val="right" w:pos="9360"/>
      </w:tabs>
      <w:spacing w:after="0" w:line="240" w:lineRule="auto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2CB748"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left" w:pos="4050"/>
      </w:tabs>
      <w:spacing w:before="0" w:after="0" w:line="240" w:lineRule="auto"/>
      <w:ind w:left="-1080" w:right="0" w:firstLine="0"/>
      <w:jc w:val="left"/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pPr>
  </w:p>
  <w:p w14:paraId="567C570F"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left" w:pos="4050"/>
      </w:tabs>
      <w:spacing w:before="0" w:after="0" w:line="240" w:lineRule="auto"/>
      <w:ind w:left="-1080" w:right="0" w:firstLine="0"/>
      <w:jc w:val="left"/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pPr>
  </w:p>
  <w:p w14:paraId="20F817AD"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left" w:pos="4050"/>
      </w:tabs>
      <w:spacing w:before="0" w:after="0" w:line="240" w:lineRule="auto"/>
      <w:ind w:left="0" w:right="0" w:firstLine="0"/>
      <w:jc w:val="left"/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pP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  <w:drawing>
        <wp:inline distT="0" distB="0" distL="0" distR="0">
          <wp:extent cx="3162300" cy="469265"/>
          <wp:effectExtent l="0" t="0" r="0" b="0"/>
          <wp:docPr id="1" name="image2.png" descr="C:\Users\Philibert\Google Drive\AsiaRelocation (Y) Drive\IMAGES\LOGO 2015\ASIARELOC LOGO-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C:\Users\Philibert\Google Drive\AsiaRelocation (Y) Drive\IMAGES\LOGO 2015\ASIARELOC LOGO-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62300" cy="4697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A69492"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left" w:pos="4050"/>
      </w:tabs>
      <w:spacing w:before="0" w:after="0" w:line="240" w:lineRule="auto"/>
      <w:ind w:left="-1080" w:right="0" w:firstLine="0"/>
      <w:jc w:val="left"/>
    </w:pPr>
  </w:p>
  <w:p w14:paraId="769020A1"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left" w:pos="4050"/>
      </w:tabs>
      <w:spacing w:before="0" w:after="0" w:line="240" w:lineRule="auto"/>
      <w:ind w:left="-1080" w:right="0" w:firstLine="0"/>
      <w:jc w:val="left"/>
    </w:pPr>
  </w:p>
  <w:p w14:paraId="49A7D21A"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left" w:pos="4050"/>
      </w:tabs>
      <w:spacing w:before="0" w:after="0" w:line="240" w:lineRule="auto"/>
      <w:ind w:left="-1080" w:right="0" w:firstLine="0"/>
      <w:jc w:val="left"/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pP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  <w:rtl w:val="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CAA42F"/>
    <w:multiLevelType w:val="singleLevel"/>
    <w:tmpl w:val="EACAA42F"/>
    <w:lvl w:ilvl="0" w:tentative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1">
    <w:nsid w:val="7FD81A7D"/>
    <w:multiLevelType w:val="singleLevel"/>
    <w:tmpl w:val="7FD81A7D"/>
    <w:lvl w:ilvl="0" w:tentative="0">
      <w:start w:val="1"/>
      <w:numFmt w:val="bullet"/>
      <w:lvlText w:val=""/>
      <w:lvlJc w:val="left"/>
      <w:pPr>
        <w:tabs>
          <w:tab w:val="left" w:pos="420"/>
        </w:tabs>
        <w:ind w:left="618" w:leftChars="0" w:hanging="418" w:firstLineChars="0"/>
      </w:pPr>
      <w:rPr>
        <w:rFonts w:hint="default" w:ascii="Wingdings 2" w:hAnsi="Wingdings 2" w:cs="Wingdings 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4F205D1"/>
    <w:rsid w:val="118D7F05"/>
    <w:rsid w:val="143E5F0F"/>
    <w:rsid w:val="20871E77"/>
    <w:rsid w:val="35D15C9B"/>
    <w:rsid w:val="3CA23579"/>
    <w:rsid w:val="49003E0E"/>
    <w:rsid w:val="4D5E2080"/>
    <w:rsid w:val="4FC60765"/>
    <w:rsid w:val="544503F1"/>
    <w:rsid w:val="55F84CE8"/>
    <w:rsid w:val="56181AD0"/>
    <w:rsid w:val="563237A9"/>
    <w:rsid w:val="5BBB6593"/>
    <w:rsid w:val="5D3F3A19"/>
    <w:rsid w:val="69456C9D"/>
    <w:rsid w:val="6D042F8D"/>
    <w:rsid w:val="76D55FAD"/>
    <w:rsid w:val="778D36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en-US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semiHidden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2">
    <w:name w:val="Subtitle"/>
    <w:basedOn w:val="1"/>
    <w:next w:val="1"/>
    <w:qFormat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3">
    <w:name w:val="Table Grid"/>
    <w:basedOn w:val="9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4">
    <w:name w:val="Title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15">
    <w:name w:val="Table Normal1"/>
    <w:qFormat/>
    <w:uiPriority w:val="0"/>
  </w:style>
  <w:style w:type="paragraph" w:customStyle="1" w:styleId="16">
    <w:name w:val="Standard"/>
    <w:qFormat/>
    <w:uiPriority w:val="0"/>
    <w:pPr>
      <w:suppressAutoHyphens/>
      <w:autoSpaceDN w:val="0"/>
      <w:spacing w:after="0" w:line="240" w:lineRule="auto"/>
    </w:pPr>
    <w:rPr>
      <w:rFonts w:ascii="Liberation Serif" w:hAnsi="Liberation Serif" w:eastAsia="SimSun" w:cs="Mangal"/>
      <w:kern w:val="3"/>
      <w:sz w:val="24"/>
      <w:szCs w:val="24"/>
      <w:lang w:val="vi-VN" w:eastAsia="zh-CN" w:bidi="hi-IN"/>
    </w:rPr>
  </w:style>
  <w:style w:type="paragraph" w:styleId="1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emf"/><Relationship Id="rId8" Type="http://schemas.openxmlformats.org/officeDocument/2006/relationships/oleObject" Target="embeddings/oleObject1.bin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TotalTime>18</TotalTime>
  <ScaleCrop>false</ScaleCrop>
  <LinksUpToDate>false</LinksUpToDate>
  <Application>WPS Office_12.2.0.18165_F1E327BC-269C-435d-A152-05C5408002CA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2023-01-06T00:46:00Z</dcterms:created>
  <dc:creator>Hanh Asia Relocation</dc:creator>
  <cp:lastModifiedBy>Hanh Asia Relocation Vietnam</cp:lastModifiedBy>
  <cp:lastPrinted>2024-06-27T08:22:00Z</cp:lastPrinted>
  <dcterms:modified xsi:type="dcterms:W3CDTF">2024-09-06T08:35:18Z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1033-12.2.0.18165</vt:lpwstr>
  </property>
  <property fmtid="{D5CDD505-2E9C-101B-9397-08002B2CF9AE}" pid="3" name="ICV">
    <vt:lpwstr>FBEDD085DF9742759F783A03E82FB8EA</vt:lpwstr>
  </property>
</Properties>
</file>