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1C0A" w14:textId="77777777" w:rsidR="00464E79" w:rsidRPr="004C317C" w:rsidRDefault="00464E79" w:rsidP="00464E79">
      <w:pPr>
        <w:rPr>
          <w:rFonts w:ascii="Arial" w:hAnsi="Arial" w:cs="Arial"/>
          <w:b/>
          <w:sz w:val="24"/>
          <w:szCs w:val="24"/>
        </w:rPr>
      </w:pPr>
      <w:r w:rsidRPr="00814D2D">
        <w:rPr>
          <w:rFonts w:ascii="Arial" w:hAnsi="Arial" w:cs="Arial"/>
          <w:noProof/>
          <w:sz w:val="24"/>
          <w:szCs w:val="24"/>
          <w:lang w:val="nl-BE" w:eastAsia="nl-BE"/>
        </w:rPr>
        <w:drawing>
          <wp:inline distT="0" distB="0" distL="0" distR="0" wp14:anchorId="68C93F47" wp14:editId="0B8D886C">
            <wp:extent cx="1432560" cy="304800"/>
            <wp:effectExtent l="0" t="0" r="0" b="0"/>
            <wp:docPr id="1" name="Picture 2" descr="Description: Description: cid:image005.jpg@01D214DF.A1802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d:image005.jpg@01D214DF.A1802C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304800"/>
                    </a:xfrm>
                    <a:prstGeom prst="rect">
                      <a:avLst/>
                    </a:prstGeom>
                    <a:noFill/>
                    <a:ln>
                      <a:noFill/>
                    </a:ln>
                  </pic:spPr>
                </pic:pic>
              </a:graphicData>
            </a:graphic>
          </wp:inline>
        </w:drawing>
      </w:r>
      <w:r w:rsidRPr="004C317C">
        <w:rPr>
          <w:rFonts w:ascii="Arial" w:hAnsi="Arial" w:cs="Arial"/>
          <w:b/>
          <w:sz w:val="24"/>
          <w:szCs w:val="24"/>
        </w:rPr>
        <w:br/>
      </w:r>
    </w:p>
    <w:p w14:paraId="3C167D9B" w14:textId="77777777" w:rsidR="00464E79" w:rsidRPr="004C317C" w:rsidRDefault="00464E79" w:rsidP="00464E79">
      <w:pPr>
        <w:rPr>
          <w:rFonts w:ascii="Arial" w:hAnsi="Arial" w:cs="Arial"/>
          <w:b/>
          <w:sz w:val="24"/>
          <w:szCs w:val="24"/>
        </w:rPr>
      </w:pPr>
      <w:r w:rsidRPr="004C317C">
        <w:rPr>
          <w:rFonts w:ascii="Arial" w:hAnsi="Arial" w:cs="Arial"/>
          <w:b/>
          <w:sz w:val="24"/>
          <w:szCs w:val="24"/>
        </w:rPr>
        <w:t>DESTINATION SERVICE QUOTE – SEA MODE</w:t>
      </w:r>
    </w:p>
    <w:p w14:paraId="45DD7235" w14:textId="77777777" w:rsidR="00464E79" w:rsidRPr="004C317C" w:rsidRDefault="00464E79" w:rsidP="00464E79">
      <w:pPr>
        <w:rPr>
          <w:rFonts w:ascii="Arial" w:hAnsi="Arial" w:cs="Arial"/>
          <w:sz w:val="24"/>
          <w:szCs w:val="24"/>
        </w:rPr>
      </w:pPr>
    </w:p>
    <w:p w14:paraId="5B733F5B" w14:textId="77777777" w:rsidR="00464E79" w:rsidRPr="004C317C" w:rsidRDefault="00464E79" w:rsidP="00464E79">
      <w:pPr>
        <w:rPr>
          <w:rFonts w:ascii="Arial" w:hAnsi="Arial" w:cs="Arial"/>
          <w:b/>
          <w:sz w:val="24"/>
          <w:szCs w:val="24"/>
        </w:rPr>
      </w:pPr>
    </w:p>
    <w:p w14:paraId="6F5279AC" w14:textId="77777777" w:rsidR="00464E79" w:rsidRPr="004C317C" w:rsidRDefault="00464E79" w:rsidP="00464E79">
      <w:pPr>
        <w:ind w:right="-143"/>
        <w:rPr>
          <w:rFonts w:ascii="Arial" w:hAnsi="Arial" w:cs="Arial"/>
          <w:sz w:val="24"/>
          <w:szCs w:val="24"/>
        </w:rPr>
      </w:pPr>
      <w:r w:rsidRPr="004C317C">
        <w:rPr>
          <w:rFonts w:ascii="Arial" w:hAnsi="Arial" w:cs="Arial"/>
          <w:sz w:val="24"/>
          <w:szCs w:val="24"/>
        </w:rPr>
        <w:t xml:space="preserve">Thank you for your request!   We are glad to assist you with our </w:t>
      </w:r>
      <w:proofErr w:type="gramStart"/>
      <w:r w:rsidRPr="004C317C">
        <w:rPr>
          <w:rFonts w:ascii="Arial" w:hAnsi="Arial" w:cs="Arial"/>
          <w:sz w:val="24"/>
          <w:szCs w:val="24"/>
        </w:rPr>
        <w:t>pricing</w:t>
      </w:r>
      <w:proofErr w:type="gramEnd"/>
      <w:r w:rsidRPr="004C317C">
        <w:rPr>
          <w:rFonts w:ascii="Arial" w:hAnsi="Arial" w:cs="Arial"/>
          <w:sz w:val="24"/>
          <w:szCs w:val="24"/>
        </w:rPr>
        <w:t xml:space="preserve"> and we remain at your disposal for any clarification needed.</w:t>
      </w:r>
    </w:p>
    <w:p w14:paraId="4A129FBD" w14:textId="77777777" w:rsidR="00464E79" w:rsidRPr="004C317C" w:rsidRDefault="00464E79" w:rsidP="00464E79">
      <w:pPr>
        <w:ind w:right="-143"/>
        <w:rPr>
          <w:rFonts w:ascii="Arial" w:hAnsi="Arial" w:cs="Arial"/>
          <w:sz w:val="24"/>
          <w:szCs w:val="24"/>
        </w:rPr>
      </w:pPr>
      <w:r w:rsidRPr="004C317C">
        <w:rPr>
          <w:rFonts w:ascii="Arial" w:hAnsi="Arial" w:cs="Arial"/>
          <w:sz w:val="24"/>
          <w:szCs w:val="24"/>
        </w:rPr>
        <w:t>Please find herewith enclosed also Italy customs rules and consignment instructions.</w:t>
      </w:r>
    </w:p>
    <w:p w14:paraId="4786F0FF" w14:textId="77777777" w:rsidR="00464E79" w:rsidRPr="004C317C" w:rsidRDefault="00464E79" w:rsidP="00464E79">
      <w:pPr>
        <w:ind w:right="-143"/>
        <w:rPr>
          <w:rFonts w:ascii="Arial" w:hAnsi="Arial" w:cs="Arial"/>
          <w:sz w:val="24"/>
          <w:szCs w:val="24"/>
        </w:rPr>
      </w:pPr>
    </w:p>
    <w:p w14:paraId="1ED85096" w14:textId="77777777" w:rsidR="00464E79" w:rsidRPr="004C317C" w:rsidRDefault="00464E79" w:rsidP="00464E79">
      <w:pPr>
        <w:ind w:right="-143"/>
        <w:rPr>
          <w:rFonts w:ascii="Arial" w:hAnsi="Arial" w:cs="Arial"/>
          <w:sz w:val="24"/>
          <w:szCs w:val="24"/>
        </w:rPr>
      </w:pPr>
      <w:r w:rsidRPr="004C317C">
        <w:rPr>
          <w:rFonts w:ascii="Arial" w:hAnsi="Arial" w:cs="Arial"/>
          <w:sz w:val="24"/>
          <w:szCs w:val="24"/>
        </w:rPr>
        <w:t xml:space="preserve">Please confirm your booking to </w:t>
      </w:r>
    </w:p>
    <w:p w14:paraId="6B985E2F" w14:textId="77777777" w:rsidR="00464E79" w:rsidRPr="004C317C" w:rsidRDefault="00464E79" w:rsidP="00464E79">
      <w:pPr>
        <w:spacing w:after="200" w:line="276" w:lineRule="auto"/>
        <w:rPr>
          <w:rFonts w:ascii="Arial" w:hAnsi="Arial" w:cs="Arial"/>
          <w:sz w:val="24"/>
          <w:szCs w:val="24"/>
        </w:rPr>
      </w:pPr>
      <w:r w:rsidRPr="004C317C">
        <w:rPr>
          <w:rFonts w:ascii="Arial" w:hAnsi="Arial" w:cs="Arial"/>
          <w:sz w:val="24"/>
          <w:szCs w:val="24"/>
        </w:rPr>
        <w:t xml:space="preserve">Email </w:t>
      </w:r>
      <w:hyperlink r:id="rId6" w:history="1">
        <w:r w:rsidRPr="004C317C">
          <w:rPr>
            <w:rStyle w:val="Hyperlink"/>
            <w:rFonts w:ascii="Arial" w:eastAsiaTheme="majorEastAsia" w:hAnsi="Arial" w:cs="Arial"/>
            <w:sz w:val="24"/>
            <w:szCs w:val="24"/>
          </w:rPr>
          <w:t>ITALY@gosselin-moving.com</w:t>
        </w:r>
      </w:hyperlink>
    </w:p>
    <w:p w14:paraId="4F622D28" w14:textId="77777777" w:rsidR="00464E79" w:rsidRPr="004C317C" w:rsidRDefault="00464E79" w:rsidP="00464E79">
      <w:pPr>
        <w:ind w:right="-143"/>
        <w:rPr>
          <w:rFonts w:ascii="Arial" w:hAnsi="Arial" w:cs="Arial"/>
          <w:sz w:val="24"/>
          <w:szCs w:val="24"/>
        </w:rPr>
      </w:pPr>
    </w:p>
    <w:p w14:paraId="046B2995" w14:textId="77777777" w:rsidR="00464E79" w:rsidRPr="004C317C" w:rsidRDefault="00464E79" w:rsidP="00464E79">
      <w:pPr>
        <w:ind w:right="-143"/>
        <w:rPr>
          <w:rFonts w:ascii="Arial" w:hAnsi="Arial" w:cs="Arial"/>
          <w:sz w:val="24"/>
          <w:szCs w:val="24"/>
        </w:rPr>
      </w:pPr>
      <w:r w:rsidRPr="004C317C">
        <w:rPr>
          <w:rFonts w:ascii="Arial" w:hAnsi="Arial" w:cs="Arial"/>
          <w:sz w:val="24"/>
          <w:szCs w:val="24"/>
        </w:rPr>
        <w:t>Regards</w:t>
      </w:r>
    </w:p>
    <w:p w14:paraId="1E26E8A3" w14:textId="77777777" w:rsidR="00464E79" w:rsidRPr="004C317C" w:rsidRDefault="00464E79" w:rsidP="00464E79">
      <w:pPr>
        <w:ind w:right="-143"/>
        <w:rPr>
          <w:rFonts w:ascii="Arial" w:hAnsi="Arial" w:cs="Arial"/>
          <w:sz w:val="24"/>
          <w:szCs w:val="24"/>
        </w:rPr>
      </w:pPr>
      <w:r w:rsidRPr="004C317C">
        <w:rPr>
          <w:rFonts w:ascii="Arial" w:hAnsi="Arial" w:cs="Arial"/>
          <w:sz w:val="24"/>
          <w:szCs w:val="24"/>
        </w:rPr>
        <w:t>Barbara Savelli</w:t>
      </w:r>
    </w:p>
    <w:p w14:paraId="55B76ED5" w14:textId="77777777" w:rsidR="00464E79" w:rsidRPr="004C317C" w:rsidRDefault="00464E79" w:rsidP="00464E79">
      <w:pPr>
        <w:ind w:right="-143"/>
        <w:rPr>
          <w:rFonts w:ascii="Arial" w:hAnsi="Arial" w:cs="Arial"/>
          <w:sz w:val="24"/>
          <w:szCs w:val="24"/>
        </w:rPr>
      </w:pPr>
    </w:p>
    <w:p w14:paraId="7923D55D" w14:textId="77777777" w:rsidR="00464E79" w:rsidRPr="004C317C" w:rsidRDefault="00464E79" w:rsidP="00464E79">
      <w:pPr>
        <w:rPr>
          <w:rFonts w:ascii="Arial" w:hAnsi="Arial" w:cs="Arial"/>
          <w:b/>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61"/>
      </w:tblGrid>
      <w:tr w:rsidR="00464E79" w:rsidRPr="004C317C" w14:paraId="0C57DA69" w14:textId="77777777" w:rsidTr="00E70989">
        <w:tc>
          <w:tcPr>
            <w:tcW w:w="1985" w:type="dxa"/>
            <w:shd w:val="clear" w:color="auto" w:fill="92D050"/>
            <w:hideMark/>
          </w:tcPr>
          <w:p w14:paraId="6EBD57E1" w14:textId="77777777" w:rsidR="00464E79" w:rsidRPr="004C317C" w:rsidRDefault="00464E79" w:rsidP="00E70989">
            <w:pPr>
              <w:rPr>
                <w:rFonts w:ascii="Arial" w:hAnsi="Arial" w:cs="Arial"/>
                <w:b/>
                <w:sz w:val="24"/>
                <w:szCs w:val="24"/>
              </w:rPr>
            </w:pPr>
            <w:r w:rsidRPr="004C317C">
              <w:rPr>
                <w:rFonts w:ascii="Arial" w:hAnsi="Arial" w:cs="Arial"/>
                <w:b/>
                <w:sz w:val="24"/>
                <w:szCs w:val="24"/>
              </w:rPr>
              <w:t>Volume/weight</w:t>
            </w:r>
          </w:p>
        </w:tc>
        <w:tc>
          <w:tcPr>
            <w:tcW w:w="7761" w:type="dxa"/>
          </w:tcPr>
          <w:p w14:paraId="70E13FC2" w14:textId="77777777" w:rsidR="00464E79" w:rsidRPr="004C317C" w:rsidRDefault="00464E79" w:rsidP="00E70989">
            <w:pPr>
              <w:rPr>
                <w:rFonts w:ascii="Arial" w:hAnsi="Arial" w:cs="Arial"/>
                <w:sz w:val="24"/>
                <w:szCs w:val="24"/>
              </w:rPr>
            </w:pPr>
          </w:p>
        </w:tc>
      </w:tr>
      <w:tr w:rsidR="00464E79" w:rsidRPr="004C317C" w14:paraId="30035815" w14:textId="77777777" w:rsidTr="00E70989">
        <w:tc>
          <w:tcPr>
            <w:tcW w:w="1985" w:type="dxa"/>
            <w:shd w:val="clear" w:color="auto" w:fill="92D050"/>
            <w:hideMark/>
          </w:tcPr>
          <w:p w14:paraId="21629509" w14:textId="77777777" w:rsidR="00464E79" w:rsidRPr="004C317C" w:rsidRDefault="00464E79" w:rsidP="00E70989">
            <w:pPr>
              <w:rPr>
                <w:rFonts w:ascii="Arial" w:hAnsi="Arial" w:cs="Arial"/>
                <w:b/>
                <w:sz w:val="24"/>
                <w:szCs w:val="24"/>
              </w:rPr>
            </w:pPr>
            <w:r w:rsidRPr="004C317C">
              <w:rPr>
                <w:rFonts w:ascii="Arial" w:hAnsi="Arial" w:cs="Arial"/>
                <w:b/>
                <w:sz w:val="24"/>
                <w:szCs w:val="24"/>
              </w:rPr>
              <w:t>Mode</w:t>
            </w:r>
          </w:p>
        </w:tc>
        <w:tc>
          <w:tcPr>
            <w:tcW w:w="7761" w:type="dxa"/>
          </w:tcPr>
          <w:p w14:paraId="5DFC3829" w14:textId="77777777" w:rsidR="00464E79" w:rsidRPr="004C317C" w:rsidRDefault="00464E79" w:rsidP="00E70989">
            <w:pPr>
              <w:rPr>
                <w:rFonts w:ascii="Arial" w:hAnsi="Arial" w:cs="Arial"/>
                <w:sz w:val="24"/>
                <w:szCs w:val="24"/>
              </w:rPr>
            </w:pPr>
          </w:p>
        </w:tc>
      </w:tr>
      <w:tr w:rsidR="00464E79" w:rsidRPr="004C317C" w14:paraId="6A5270EB" w14:textId="77777777" w:rsidTr="00E70989">
        <w:tc>
          <w:tcPr>
            <w:tcW w:w="1985" w:type="dxa"/>
            <w:shd w:val="clear" w:color="auto" w:fill="92D050"/>
          </w:tcPr>
          <w:p w14:paraId="0B56F9A5" w14:textId="77777777" w:rsidR="00464E79" w:rsidRPr="004C317C" w:rsidRDefault="00464E79" w:rsidP="00E70989">
            <w:pPr>
              <w:rPr>
                <w:rFonts w:ascii="Arial" w:hAnsi="Arial" w:cs="Arial"/>
                <w:b/>
                <w:sz w:val="24"/>
                <w:szCs w:val="24"/>
              </w:rPr>
            </w:pPr>
            <w:r w:rsidRPr="004C317C">
              <w:rPr>
                <w:rFonts w:ascii="Arial" w:hAnsi="Arial" w:cs="Arial"/>
                <w:b/>
                <w:sz w:val="24"/>
                <w:szCs w:val="24"/>
              </w:rPr>
              <w:t>Country of Origin</w:t>
            </w:r>
          </w:p>
        </w:tc>
        <w:tc>
          <w:tcPr>
            <w:tcW w:w="7761" w:type="dxa"/>
          </w:tcPr>
          <w:p w14:paraId="22B3E484" w14:textId="77777777" w:rsidR="00464E79" w:rsidRPr="004C317C" w:rsidRDefault="00464E79" w:rsidP="00E70989">
            <w:pPr>
              <w:rPr>
                <w:rFonts w:ascii="Arial" w:hAnsi="Arial" w:cs="Arial"/>
                <w:sz w:val="24"/>
                <w:szCs w:val="24"/>
              </w:rPr>
            </w:pPr>
          </w:p>
        </w:tc>
      </w:tr>
      <w:tr w:rsidR="00464E79" w:rsidRPr="004C317C" w14:paraId="19C0C363" w14:textId="77777777" w:rsidTr="00E70989">
        <w:tc>
          <w:tcPr>
            <w:tcW w:w="1985" w:type="dxa"/>
            <w:shd w:val="clear" w:color="auto" w:fill="92D050"/>
            <w:hideMark/>
          </w:tcPr>
          <w:p w14:paraId="77C2E6D2" w14:textId="77777777" w:rsidR="00464E79" w:rsidRPr="004C317C" w:rsidRDefault="00464E79" w:rsidP="00E70989">
            <w:pPr>
              <w:tabs>
                <w:tab w:val="left" w:pos="1440"/>
              </w:tabs>
              <w:rPr>
                <w:rFonts w:ascii="Arial" w:hAnsi="Arial" w:cs="Arial"/>
                <w:b/>
                <w:sz w:val="24"/>
                <w:szCs w:val="24"/>
              </w:rPr>
            </w:pPr>
            <w:r w:rsidRPr="004C317C">
              <w:rPr>
                <w:rFonts w:ascii="Arial" w:hAnsi="Arial" w:cs="Arial"/>
                <w:b/>
                <w:sz w:val="24"/>
                <w:szCs w:val="24"/>
              </w:rPr>
              <w:t>Port of entry</w:t>
            </w:r>
          </w:p>
        </w:tc>
        <w:tc>
          <w:tcPr>
            <w:tcW w:w="7761" w:type="dxa"/>
          </w:tcPr>
          <w:p w14:paraId="0B1E055F" w14:textId="77777777" w:rsidR="00464E79" w:rsidRPr="004C317C" w:rsidRDefault="00464E79" w:rsidP="00E70989">
            <w:pPr>
              <w:rPr>
                <w:rFonts w:ascii="Arial" w:hAnsi="Arial" w:cs="Arial"/>
                <w:sz w:val="24"/>
                <w:szCs w:val="24"/>
              </w:rPr>
            </w:pPr>
          </w:p>
        </w:tc>
      </w:tr>
      <w:tr w:rsidR="00464E79" w:rsidRPr="004C317C" w14:paraId="43C7AF08" w14:textId="77777777" w:rsidTr="00E70989">
        <w:tc>
          <w:tcPr>
            <w:tcW w:w="1985" w:type="dxa"/>
            <w:shd w:val="clear" w:color="auto" w:fill="92D050"/>
            <w:hideMark/>
          </w:tcPr>
          <w:p w14:paraId="13147772" w14:textId="77777777" w:rsidR="00464E79" w:rsidRPr="004C317C" w:rsidRDefault="00464E79" w:rsidP="00E70989">
            <w:pPr>
              <w:rPr>
                <w:rFonts w:ascii="Arial" w:hAnsi="Arial" w:cs="Arial"/>
                <w:b/>
                <w:sz w:val="24"/>
                <w:szCs w:val="24"/>
              </w:rPr>
            </w:pPr>
            <w:proofErr w:type="gramStart"/>
            <w:r w:rsidRPr="004C317C">
              <w:rPr>
                <w:rFonts w:ascii="Arial" w:hAnsi="Arial" w:cs="Arial"/>
                <w:b/>
                <w:sz w:val="24"/>
                <w:szCs w:val="24"/>
              </w:rPr>
              <w:t>Final destination</w:t>
            </w:r>
            <w:proofErr w:type="gramEnd"/>
            <w:r w:rsidRPr="004C317C">
              <w:rPr>
                <w:rFonts w:ascii="Arial" w:hAnsi="Arial" w:cs="Arial"/>
                <w:b/>
                <w:sz w:val="24"/>
                <w:szCs w:val="24"/>
              </w:rPr>
              <w:t xml:space="preserve"> </w:t>
            </w:r>
          </w:p>
        </w:tc>
        <w:tc>
          <w:tcPr>
            <w:tcW w:w="7761" w:type="dxa"/>
          </w:tcPr>
          <w:p w14:paraId="13371906" w14:textId="77777777" w:rsidR="00464E79" w:rsidRPr="004C317C" w:rsidRDefault="00464E79" w:rsidP="00E70989">
            <w:pPr>
              <w:rPr>
                <w:rFonts w:ascii="Arial" w:hAnsi="Arial" w:cs="Arial"/>
                <w:sz w:val="24"/>
                <w:szCs w:val="24"/>
              </w:rPr>
            </w:pPr>
          </w:p>
        </w:tc>
      </w:tr>
    </w:tbl>
    <w:p w14:paraId="5E92940E" w14:textId="77777777" w:rsidR="00464E79" w:rsidRPr="004C317C" w:rsidRDefault="00464E79" w:rsidP="00464E79">
      <w:pPr>
        <w:tabs>
          <w:tab w:val="left" w:pos="1440"/>
        </w:tabs>
        <w:rPr>
          <w:rFonts w:ascii="Arial" w:hAnsi="Arial" w:cs="Arial"/>
          <w:b/>
          <w:sz w:val="24"/>
          <w:szCs w:val="24"/>
        </w:rPr>
      </w:pPr>
      <w:r w:rsidRPr="004C317C">
        <w:rPr>
          <w:rFonts w:ascii="Arial" w:hAnsi="Arial" w:cs="Arial"/>
          <w:b/>
          <w:sz w:val="24"/>
          <w:szCs w:val="24"/>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96"/>
      </w:tblGrid>
      <w:tr w:rsidR="00464E79" w:rsidRPr="004C317C" w14:paraId="57C3B2B3" w14:textId="77777777" w:rsidTr="00E70989">
        <w:trPr>
          <w:trHeight w:val="393"/>
        </w:trPr>
        <w:tc>
          <w:tcPr>
            <w:tcW w:w="1985" w:type="dxa"/>
            <w:shd w:val="clear" w:color="auto" w:fill="92D050"/>
            <w:hideMark/>
          </w:tcPr>
          <w:p w14:paraId="3846C83C" w14:textId="77777777" w:rsidR="00464E79" w:rsidRPr="004C317C" w:rsidRDefault="00464E79" w:rsidP="00E70989">
            <w:pPr>
              <w:tabs>
                <w:tab w:val="left" w:pos="1440"/>
              </w:tabs>
              <w:rPr>
                <w:rFonts w:ascii="Arial" w:hAnsi="Arial" w:cs="Arial"/>
                <w:b/>
                <w:sz w:val="24"/>
                <w:szCs w:val="24"/>
              </w:rPr>
            </w:pPr>
            <w:r w:rsidRPr="004C317C">
              <w:rPr>
                <w:rFonts w:ascii="Arial" w:hAnsi="Arial" w:cs="Arial"/>
                <w:b/>
                <w:sz w:val="24"/>
                <w:szCs w:val="24"/>
              </w:rPr>
              <w:t>Rate:</w:t>
            </w:r>
          </w:p>
        </w:tc>
        <w:tc>
          <w:tcPr>
            <w:tcW w:w="7796" w:type="dxa"/>
          </w:tcPr>
          <w:p w14:paraId="0E7C75E6" w14:textId="77777777" w:rsidR="00464E79" w:rsidRPr="004C317C" w:rsidRDefault="00464E79" w:rsidP="00E70989">
            <w:pPr>
              <w:pStyle w:val="Heading3"/>
              <w:tabs>
                <w:tab w:val="left" w:pos="1440"/>
              </w:tabs>
              <w:rPr>
                <w:rFonts w:ascii="Arial" w:hAnsi="Arial" w:cs="Arial"/>
                <w:sz w:val="24"/>
                <w:szCs w:val="24"/>
              </w:rPr>
            </w:pPr>
            <w:r w:rsidRPr="004C317C">
              <w:rPr>
                <w:rFonts w:ascii="Arial" w:hAnsi="Arial" w:cs="Arial"/>
                <w:sz w:val="24"/>
                <w:szCs w:val="24"/>
              </w:rPr>
              <w:t xml:space="preserve">Import clearance and standard destination </w:t>
            </w:r>
            <w:proofErr w:type="gramStart"/>
            <w:r w:rsidRPr="004C317C">
              <w:rPr>
                <w:rFonts w:ascii="Arial" w:hAnsi="Arial" w:cs="Arial"/>
                <w:sz w:val="24"/>
                <w:szCs w:val="24"/>
              </w:rPr>
              <w:t>service :</w:t>
            </w:r>
            <w:proofErr w:type="gramEnd"/>
          </w:p>
        </w:tc>
      </w:tr>
      <w:tr w:rsidR="00464E79" w:rsidRPr="004C317C" w14:paraId="3B85B9CE" w14:textId="77777777" w:rsidTr="00E70989">
        <w:trPr>
          <w:trHeight w:val="393"/>
        </w:trPr>
        <w:tc>
          <w:tcPr>
            <w:tcW w:w="1985" w:type="dxa"/>
            <w:shd w:val="clear" w:color="auto" w:fill="92D050"/>
          </w:tcPr>
          <w:p w14:paraId="09AB5512" w14:textId="77777777" w:rsidR="00464E79" w:rsidRPr="004C317C" w:rsidRDefault="00464E79" w:rsidP="00E70989">
            <w:pPr>
              <w:tabs>
                <w:tab w:val="left" w:pos="1440"/>
              </w:tabs>
              <w:rPr>
                <w:rFonts w:ascii="Arial" w:hAnsi="Arial" w:cs="Arial"/>
                <w:b/>
                <w:sz w:val="24"/>
                <w:szCs w:val="24"/>
              </w:rPr>
            </w:pPr>
            <w:r w:rsidRPr="004C317C">
              <w:rPr>
                <w:rFonts w:ascii="Arial" w:hAnsi="Arial" w:cs="Arial"/>
                <w:b/>
                <w:sz w:val="24"/>
                <w:szCs w:val="24"/>
              </w:rPr>
              <w:t>Move Dates</w:t>
            </w:r>
          </w:p>
        </w:tc>
        <w:tc>
          <w:tcPr>
            <w:tcW w:w="7796" w:type="dxa"/>
          </w:tcPr>
          <w:p w14:paraId="0CEB576D" w14:textId="77777777" w:rsidR="00464E79" w:rsidRPr="004C317C" w:rsidRDefault="00464E79" w:rsidP="00E70989">
            <w:pPr>
              <w:pStyle w:val="Heading3"/>
              <w:tabs>
                <w:tab w:val="left" w:pos="1440"/>
              </w:tabs>
              <w:rPr>
                <w:rFonts w:ascii="Arial" w:hAnsi="Arial" w:cs="Arial"/>
                <w:sz w:val="24"/>
                <w:szCs w:val="24"/>
              </w:rPr>
            </w:pPr>
            <w:r w:rsidRPr="004C317C">
              <w:rPr>
                <w:rFonts w:ascii="Arial" w:hAnsi="Arial" w:cs="Arial"/>
                <w:sz w:val="24"/>
                <w:szCs w:val="24"/>
              </w:rPr>
              <w:t>To be agreed</w:t>
            </w:r>
          </w:p>
        </w:tc>
      </w:tr>
    </w:tbl>
    <w:p w14:paraId="1435D913" w14:textId="77777777" w:rsidR="00464E79" w:rsidRPr="004C317C" w:rsidRDefault="00464E79" w:rsidP="00464E79">
      <w:pPr>
        <w:rPr>
          <w:rFonts w:ascii="Arial" w:hAnsi="Arial" w:cs="Arial"/>
          <w:b/>
          <w:bCs/>
          <w:i/>
          <w:color w:val="92D050"/>
          <w:sz w:val="24"/>
          <w:szCs w:val="24"/>
          <w:u w:val="single"/>
          <w:lang w:val="en-GB"/>
        </w:rPr>
      </w:pPr>
    </w:p>
    <w:p w14:paraId="70D55B15" w14:textId="77777777" w:rsidR="00464E79" w:rsidRPr="004C317C" w:rsidRDefault="00464E79" w:rsidP="00464E79">
      <w:pPr>
        <w:rPr>
          <w:rFonts w:ascii="Arial" w:hAnsi="Arial" w:cs="Arial"/>
          <w:b/>
          <w:bCs/>
          <w:i/>
          <w:color w:val="92D050"/>
          <w:sz w:val="24"/>
          <w:szCs w:val="24"/>
          <w:u w:val="single"/>
          <w:lang w:val="en-GB"/>
        </w:rPr>
      </w:pPr>
      <w:r w:rsidRPr="004C317C">
        <w:rPr>
          <w:rFonts w:ascii="Arial" w:hAnsi="Arial" w:cs="Arial"/>
          <w:b/>
          <w:bCs/>
          <w:i/>
          <w:color w:val="92D050"/>
          <w:sz w:val="24"/>
          <w:szCs w:val="24"/>
          <w:u w:val="single"/>
          <w:lang w:val="en-GB"/>
        </w:rPr>
        <w:t xml:space="preserve">Accessorial fees / Potential additional costs due to </w:t>
      </w:r>
      <w:proofErr w:type="gramStart"/>
      <w:r w:rsidRPr="004C317C">
        <w:rPr>
          <w:rFonts w:ascii="Arial" w:hAnsi="Arial" w:cs="Arial"/>
          <w:b/>
          <w:bCs/>
          <w:i/>
          <w:color w:val="92D050"/>
          <w:sz w:val="24"/>
          <w:szCs w:val="24"/>
          <w:u w:val="single"/>
          <w:lang w:val="en-GB"/>
        </w:rPr>
        <w:t>difficult  access</w:t>
      </w:r>
      <w:proofErr w:type="gramEnd"/>
      <w:r w:rsidRPr="004C317C">
        <w:rPr>
          <w:rFonts w:ascii="Arial" w:hAnsi="Arial" w:cs="Arial"/>
          <w:b/>
          <w:bCs/>
          <w:i/>
          <w:color w:val="92D050"/>
          <w:sz w:val="24"/>
          <w:szCs w:val="24"/>
          <w:u w:val="single"/>
          <w:lang w:val="en-GB"/>
        </w:rPr>
        <w:t>:</w:t>
      </w:r>
    </w:p>
    <w:p w14:paraId="441422C6" w14:textId="77777777" w:rsidR="00464E79" w:rsidRPr="004C317C" w:rsidRDefault="00464E79" w:rsidP="00464E79">
      <w:pPr>
        <w:rPr>
          <w:rFonts w:ascii="Arial" w:hAnsi="Arial" w:cs="Arial"/>
          <w:color w:val="008080"/>
          <w:sz w:val="24"/>
          <w:szCs w:val="24"/>
          <w:lang w:val="en-GB"/>
        </w:rPr>
      </w:pPr>
    </w:p>
    <w:p w14:paraId="5386E05E" w14:textId="77777777" w:rsidR="00464E79" w:rsidRPr="004C317C" w:rsidRDefault="00464E79" w:rsidP="00464E79">
      <w:pPr>
        <w:pStyle w:val="ListParagraph"/>
        <w:numPr>
          <w:ilvl w:val="0"/>
          <w:numId w:val="2"/>
        </w:numPr>
        <w:rPr>
          <w:rFonts w:ascii="Arial" w:hAnsi="Arial" w:cs="Arial"/>
          <w:sz w:val="24"/>
          <w:szCs w:val="24"/>
          <w:lang w:val="it-IT"/>
        </w:rPr>
      </w:pPr>
      <w:r w:rsidRPr="004C317C">
        <w:rPr>
          <w:rFonts w:ascii="Arial" w:hAnsi="Arial" w:cs="Arial"/>
          <w:b/>
          <w:bCs/>
          <w:sz w:val="24"/>
          <w:szCs w:val="24"/>
          <w:lang w:val="it-IT"/>
        </w:rPr>
        <w:t xml:space="preserve">Shuttle service: </w:t>
      </w:r>
      <w:r w:rsidRPr="004C317C">
        <w:rPr>
          <w:rFonts w:ascii="Arial" w:hAnsi="Arial" w:cs="Arial"/>
          <w:sz w:val="24"/>
          <w:szCs w:val="24"/>
          <w:lang w:val="it-IT"/>
        </w:rPr>
        <w:t>Euro 12,00 per cbm – Min Euro 400.00</w:t>
      </w:r>
    </w:p>
    <w:p w14:paraId="785A5933"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Stair carry:   </w:t>
      </w:r>
      <w:proofErr w:type="gramStart"/>
      <w:r w:rsidRPr="004C317C">
        <w:rPr>
          <w:rFonts w:ascii="Arial" w:hAnsi="Arial" w:cs="Arial"/>
          <w:color w:val="000000"/>
          <w:sz w:val="24"/>
          <w:szCs w:val="24"/>
          <w:lang w:val="en-GB"/>
        </w:rPr>
        <w:t>Euro  7</w:t>
      </w:r>
      <w:proofErr w:type="gramEnd"/>
      <w:r w:rsidRPr="004C317C">
        <w:rPr>
          <w:rFonts w:ascii="Arial" w:hAnsi="Arial" w:cs="Arial"/>
          <w:color w:val="000000"/>
          <w:sz w:val="24"/>
          <w:szCs w:val="24"/>
          <w:lang w:val="en-GB"/>
        </w:rPr>
        <w:t xml:space="preserve">,00 per </w:t>
      </w:r>
      <w:proofErr w:type="spellStart"/>
      <w:r w:rsidRPr="004C317C">
        <w:rPr>
          <w:rFonts w:ascii="Arial" w:hAnsi="Arial" w:cs="Arial"/>
          <w:color w:val="000000"/>
          <w:sz w:val="24"/>
          <w:szCs w:val="24"/>
          <w:lang w:val="en-GB"/>
        </w:rPr>
        <w:t>cbm</w:t>
      </w:r>
      <w:proofErr w:type="spellEnd"/>
      <w:r w:rsidRPr="004C317C">
        <w:rPr>
          <w:rFonts w:ascii="Arial" w:hAnsi="Arial" w:cs="Arial"/>
          <w:color w:val="000000"/>
          <w:sz w:val="24"/>
          <w:szCs w:val="24"/>
          <w:lang w:val="en-GB"/>
        </w:rPr>
        <w:t xml:space="preserve"> gross per floor over the 1</w:t>
      </w:r>
      <w:r w:rsidRPr="004C317C">
        <w:rPr>
          <w:rFonts w:ascii="Arial" w:hAnsi="Arial" w:cs="Arial"/>
          <w:color w:val="000000"/>
          <w:sz w:val="24"/>
          <w:szCs w:val="24"/>
          <w:vertAlign w:val="superscript"/>
          <w:lang w:val="en-GB"/>
        </w:rPr>
        <w:t>st</w:t>
      </w:r>
      <w:r w:rsidRPr="004C317C">
        <w:rPr>
          <w:rFonts w:ascii="Arial" w:hAnsi="Arial" w:cs="Arial"/>
          <w:color w:val="000000"/>
          <w:sz w:val="24"/>
          <w:szCs w:val="24"/>
          <w:lang w:val="en-GB"/>
        </w:rPr>
        <w:t xml:space="preserve"> – min 185 euro</w:t>
      </w:r>
    </w:p>
    <w:p w14:paraId="3D1CFEAD"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Long Carry:  </w:t>
      </w:r>
      <w:proofErr w:type="gramStart"/>
      <w:r w:rsidRPr="004C317C">
        <w:rPr>
          <w:rFonts w:ascii="Arial" w:hAnsi="Arial" w:cs="Arial"/>
          <w:sz w:val="24"/>
          <w:szCs w:val="24"/>
          <w:lang w:val="en-CA"/>
        </w:rPr>
        <w:t>Euro  7</w:t>
      </w:r>
      <w:proofErr w:type="gramEnd"/>
      <w:r w:rsidRPr="004C317C">
        <w:rPr>
          <w:rFonts w:ascii="Arial" w:hAnsi="Arial" w:cs="Arial"/>
          <w:sz w:val="24"/>
          <w:szCs w:val="24"/>
          <w:lang w:val="en-CA"/>
        </w:rPr>
        <w:t xml:space="preserve">,00 per </w:t>
      </w:r>
      <w:proofErr w:type="spellStart"/>
      <w:r w:rsidRPr="004C317C">
        <w:rPr>
          <w:rFonts w:ascii="Arial" w:hAnsi="Arial" w:cs="Arial"/>
          <w:sz w:val="24"/>
          <w:szCs w:val="24"/>
          <w:lang w:val="en-CA"/>
        </w:rPr>
        <w:t>cbm</w:t>
      </w:r>
      <w:proofErr w:type="spellEnd"/>
      <w:r w:rsidRPr="004C317C">
        <w:rPr>
          <w:rFonts w:ascii="Arial" w:hAnsi="Arial" w:cs="Arial"/>
          <w:sz w:val="24"/>
          <w:szCs w:val="24"/>
          <w:lang w:val="en-CA"/>
        </w:rPr>
        <w:t xml:space="preserve"> gross per each 30 meters over the firsts 30 meters free – min 185 euro.</w:t>
      </w:r>
    </w:p>
    <w:p w14:paraId="1C630426"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External Elevator up to 5</w:t>
      </w:r>
      <w:r w:rsidRPr="004C317C">
        <w:rPr>
          <w:rFonts w:ascii="Arial" w:hAnsi="Arial" w:cs="Arial"/>
          <w:b/>
          <w:bCs/>
          <w:sz w:val="24"/>
          <w:szCs w:val="24"/>
          <w:vertAlign w:val="superscript"/>
          <w:lang w:val="en-GB"/>
        </w:rPr>
        <w:t>th</w:t>
      </w:r>
      <w:r w:rsidRPr="004C317C">
        <w:rPr>
          <w:rFonts w:ascii="Arial" w:hAnsi="Arial" w:cs="Arial"/>
          <w:b/>
          <w:bCs/>
          <w:sz w:val="24"/>
          <w:szCs w:val="24"/>
          <w:lang w:val="en-GB"/>
        </w:rPr>
        <w:t xml:space="preserve"> floor: </w:t>
      </w:r>
      <w:r w:rsidRPr="004C317C">
        <w:rPr>
          <w:rFonts w:ascii="Arial" w:hAnsi="Arial" w:cs="Arial"/>
          <w:sz w:val="24"/>
          <w:szCs w:val="24"/>
          <w:lang w:val="en-GB"/>
        </w:rPr>
        <w:t>Euro 480,00 per day</w:t>
      </w:r>
    </w:p>
    <w:p w14:paraId="1DA2DC5B"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External Elevator over 5</w:t>
      </w:r>
      <w:r w:rsidRPr="004C317C">
        <w:rPr>
          <w:rFonts w:ascii="Arial" w:hAnsi="Arial" w:cs="Arial"/>
          <w:b/>
          <w:bCs/>
          <w:sz w:val="24"/>
          <w:szCs w:val="24"/>
          <w:vertAlign w:val="superscript"/>
          <w:lang w:val="en-GB"/>
        </w:rPr>
        <w:t>th</w:t>
      </w:r>
      <w:r w:rsidRPr="004C317C">
        <w:rPr>
          <w:rFonts w:ascii="Arial" w:hAnsi="Arial" w:cs="Arial"/>
          <w:b/>
          <w:bCs/>
          <w:sz w:val="24"/>
          <w:szCs w:val="24"/>
          <w:lang w:val="en-GB"/>
        </w:rPr>
        <w:t xml:space="preserve"> floor:  </w:t>
      </w:r>
      <w:r w:rsidRPr="004C317C">
        <w:rPr>
          <w:rFonts w:ascii="Arial" w:hAnsi="Arial" w:cs="Arial"/>
          <w:sz w:val="24"/>
          <w:szCs w:val="24"/>
          <w:lang w:val="en-GB"/>
        </w:rPr>
        <w:t>Euro 580,00 per day</w:t>
      </w:r>
    </w:p>
    <w:p w14:paraId="0BEC4B87"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Parking permit: </w:t>
      </w:r>
      <w:r w:rsidRPr="004C317C">
        <w:rPr>
          <w:rFonts w:ascii="Arial" w:hAnsi="Arial" w:cs="Arial"/>
          <w:sz w:val="24"/>
          <w:szCs w:val="24"/>
          <w:lang w:val="en-GB"/>
        </w:rPr>
        <w:t xml:space="preserve">Application request € 250.00 + City Hall taxes as per outlay </w:t>
      </w:r>
    </w:p>
    <w:p w14:paraId="031A43ED" w14:textId="77777777" w:rsidR="00464E79" w:rsidRPr="004C317C" w:rsidRDefault="00464E79" w:rsidP="00464E79">
      <w:pPr>
        <w:numPr>
          <w:ilvl w:val="0"/>
          <w:numId w:val="2"/>
        </w:numPr>
        <w:contextualSpacing/>
        <w:rPr>
          <w:rFonts w:ascii="Arial" w:hAnsi="Arial" w:cs="Arial"/>
          <w:sz w:val="24"/>
          <w:szCs w:val="24"/>
          <w:lang w:val="it-IT"/>
        </w:rPr>
      </w:pPr>
      <w:r w:rsidRPr="004C317C">
        <w:rPr>
          <w:rFonts w:ascii="Arial" w:hAnsi="Arial" w:cs="Arial"/>
          <w:b/>
          <w:bCs/>
          <w:sz w:val="24"/>
          <w:szCs w:val="24"/>
          <w:lang w:val="it-IT"/>
        </w:rPr>
        <w:t xml:space="preserve">Uncrating: </w:t>
      </w:r>
      <w:r w:rsidRPr="004C317C">
        <w:rPr>
          <w:rFonts w:ascii="Arial" w:hAnsi="Arial" w:cs="Arial"/>
          <w:sz w:val="24"/>
          <w:szCs w:val="24"/>
          <w:lang w:val="it-IT"/>
        </w:rPr>
        <w:t>Euro 15,00 per crate min 50€</w:t>
      </w:r>
    </w:p>
    <w:p w14:paraId="21AC9252"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Handling In and out of warehouse charges: </w:t>
      </w:r>
      <w:r w:rsidRPr="004C317C">
        <w:rPr>
          <w:rFonts w:ascii="Arial" w:hAnsi="Arial" w:cs="Arial"/>
          <w:sz w:val="24"/>
          <w:szCs w:val="24"/>
          <w:lang w:val="en-CA"/>
        </w:rPr>
        <w:t xml:space="preserve">Euro 15,00 per </w:t>
      </w:r>
      <w:proofErr w:type="spellStart"/>
      <w:r w:rsidRPr="004C317C">
        <w:rPr>
          <w:rFonts w:ascii="Arial" w:hAnsi="Arial" w:cs="Arial"/>
          <w:sz w:val="24"/>
          <w:szCs w:val="24"/>
          <w:lang w:val="en-CA"/>
        </w:rPr>
        <w:t>cbm</w:t>
      </w:r>
      <w:proofErr w:type="spellEnd"/>
      <w:r w:rsidRPr="004C317C">
        <w:rPr>
          <w:rFonts w:ascii="Arial" w:hAnsi="Arial" w:cs="Arial"/>
          <w:sz w:val="24"/>
          <w:szCs w:val="24"/>
          <w:lang w:val="en-CA"/>
        </w:rPr>
        <w:t xml:space="preserve"> gross – min 90.00 euro</w:t>
      </w:r>
    </w:p>
    <w:p w14:paraId="7476289B"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Transport to </w:t>
      </w:r>
      <w:proofErr w:type="gramStart"/>
      <w:r w:rsidRPr="004C317C">
        <w:rPr>
          <w:rFonts w:ascii="Arial" w:hAnsi="Arial" w:cs="Arial"/>
          <w:b/>
          <w:bCs/>
          <w:sz w:val="24"/>
          <w:szCs w:val="24"/>
          <w:lang w:val="en-GB"/>
        </w:rPr>
        <w:t>SIT :</w:t>
      </w:r>
      <w:proofErr w:type="gramEnd"/>
      <w:r w:rsidRPr="004C317C">
        <w:rPr>
          <w:rFonts w:ascii="Arial" w:hAnsi="Arial" w:cs="Arial"/>
          <w:sz w:val="24"/>
          <w:szCs w:val="24"/>
          <w:lang w:val="en-GB"/>
        </w:rPr>
        <w:t xml:space="preserve"> Euro 8 per </w:t>
      </w:r>
      <w:proofErr w:type="spellStart"/>
      <w:r w:rsidRPr="004C317C">
        <w:rPr>
          <w:rFonts w:ascii="Arial" w:hAnsi="Arial" w:cs="Arial"/>
          <w:sz w:val="24"/>
          <w:szCs w:val="24"/>
          <w:lang w:val="en-GB"/>
        </w:rPr>
        <w:t>cbm</w:t>
      </w:r>
      <w:proofErr w:type="spellEnd"/>
      <w:r w:rsidRPr="004C317C">
        <w:rPr>
          <w:rFonts w:ascii="Arial" w:hAnsi="Arial" w:cs="Arial"/>
          <w:sz w:val="24"/>
          <w:szCs w:val="24"/>
          <w:lang w:val="en-GB"/>
        </w:rPr>
        <w:t xml:space="preserve"> gross – min. 150 euro</w:t>
      </w:r>
    </w:p>
    <w:p w14:paraId="7400CAD3"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Storage charges: </w:t>
      </w:r>
      <w:r w:rsidRPr="004C317C">
        <w:rPr>
          <w:rFonts w:ascii="Arial" w:hAnsi="Arial" w:cs="Arial"/>
          <w:sz w:val="24"/>
          <w:szCs w:val="24"/>
          <w:lang w:val="en-CA"/>
        </w:rPr>
        <w:t xml:space="preserve">Euro 9,00 per </w:t>
      </w:r>
      <w:proofErr w:type="spellStart"/>
      <w:r w:rsidRPr="004C317C">
        <w:rPr>
          <w:rFonts w:ascii="Arial" w:hAnsi="Arial" w:cs="Arial"/>
          <w:sz w:val="24"/>
          <w:szCs w:val="24"/>
          <w:lang w:val="en-CA"/>
        </w:rPr>
        <w:t>cbm</w:t>
      </w:r>
      <w:proofErr w:type="spellEnd"/>
      <w:r w:rsidRPr="004C317C">
        <w:rPr>
          <w:rFonts w:ascii="Arial" w:hAnsi="Arial" w:cs="Arial"/>
          <w:sz w:val="24"/>
          <w:szCs w:val="24"/>
          <w:lang w:val="en-CA"/>
        </w:rPr>
        <w:t xml:space="preserve"> gross per month or fraction – Min Euro 85,00</w:t>
      </w:r>
    </w:p>
    <w:p w14:paraId="5D71FF0E" w14:textId="77777777" w:rsidR="00464E79" w:rsidRPr="004C317C" w:rsidRDefault="00464E79" w:rsidP="00464E79">
      <w:pPr>
        <w:numPr>
          <w:ilvl w:val="0"/>
          <w:numId w:val="2"/>
        </w:numPr>
        <w:contextualSpacing/>
        <w:rPr>
          <w:rFonts w:ascii="Arial" w:hAnsi="Arial" w:cs="Arial"/>
          <w:sz w:val="24"/>
          <w:szCs w:val="24"/>
          <w:lang w:val="en-GB"/>
        </w:rPr>
      </w:pPr>
      <w:r w:rsidRPr="004C317C">
        <w:rPr>
          <w:rFonts w:ascii="Arial" w:hAnsi="Arial" w:cs="Arial"/>
          <w:b/>
          <w:bCs/>
          <w:sz w:val="24"/>
          <w:szCs w:val="24"/>
          <w:lang w:val="en-GB"/>
        </w:rPr>
        <w:t xml:space="preserve">Upright piano handling: </w:t>
      </w:r>
      <w:r w:rsidRPr="004C317C">
        <w:rPr>
          <w:rFonts w:ascii="Arial" w:hAnsi="Arial" w:cs="Arial"/>
          <w:sz w:val="24"/>
          <w:szCs w:val="24"/>
          <w:lang w:val="en-CA"/>
        </w:rPr>
        <w:t>Euro 290,00 up to 1</w:t>
      </w:r>
      <w:r w:rsidRPr="004C317C">
        <w:rPr>
          <w:rFonts w:ascii="Arial" w:hAnsi="Arial" w:cs="Arial"/>
          <w:sz w:val="24"/>
          <w:szCs w:val="24"/>
          <w:vertAlign w:val="superscript"/>
          <w:lang w:val="en-CA"/>
        </w:rPr>
        <w:t>st</w:t>
      </w:r>
      <w:r w:rsidRPr="004C317C">
        <w:rPr>
          <w:rFonts w:ascii="Arial" w:hAnsi="Arial" w:cs="Arial"/>
          <w:sz w:val="24"/>
          <w:szCs w:val="24"/>
          <w:lang w:val="en-CA"/>
        </w:rPr>
        <w:t xml:space="preserve"> floor – Euro 50,00 per each floor over the 1</w:t>
      </w:r>
      <w:r w:rsidRPr="004C317C">
        <w:rPr>
          <w:rFonts w:ascii="Arial" w:hAnsi="Arial" w:cs="Arial"/>
          <w:sz w:val="24"/>
          <w:szCs w:val="24"/>
          <w:vertAlign w:val="superscript"/>
          <w:lang w:val="en-CA"/>
        </w:rPr>
        <w:t>st</w:t>
      </w:r>
    </w:p>
    <w:p w14:paraId="7952A668" w14:textId="77777777" w:rsidR="00464E79" w:rsidRPr="004C317C" w:rsidRDefault="00464E79" w:rsidP="00464E79">
      <w:pPr>
        <w:numPr>
          <w:ilvl w:val="0"/>
          <w:numId w:val="2"/>
        </w:numPr>
        <w:contextualSpacing/>
        <w:rPr>
          <w:rFonts w:ascii="Arial" w:hAnsi="Arial" w:cs="Arial"/>
          <w:sz w:val="24"/>
          <w:szCs w:val="24"/>
        </w:rPr>
      </w:pPr>
      <w:r w:rsidRPr="004C317C">
        <w:rPr>
          <w:rFonts w:ascii="Arial" w:hAnsi="Arial" w:cs="Arial"/>
          <w:b/>
          <w:bCs/>
          <w:sz w:val="24"/>
          <w:szCs w:val="24"/>
        </w:rPr>
        <w:t>Handy man:</w:t>
      </w:r>
      <w:r w:rsidRPr="004C317C">
        <w:rPr>
          <w:rFonts w:ascii="Arial" w:hAnsi="Arial" w:cs="Arial"/>
          <w:sz w:val="24"/>
          <w:szCs w:val="24"/>
        </w:rPr>
        <w:t xml:space="preserve"> euro 55/H – min 4 hours + travel fees 90 euro</w:t>
      </w:r>
    </w:p>
    <w:p w14:paraId="72C6DA51" w14:textId="77777777" w:rsidR="00464E79" w:rsidRPr="004C317C" w:rsidRDefault="00464E79" w:rsidP="00464E79">
      <w:pPr>
        <w:numPr>
          <w:ilvl w:val="0"/>
          <w:numId w:val="2"/>
        </w:numPr>
        <w:contextualSpacing/>
        <w:rPr>
          <w:rFonts w:ascii="Arial" w:hAnsi="Arial" w:cs="Arial"/>
          <w:sz w:val="24"/>
          <w:szCs w:val="24"/>
          <w:lang w:val="en-GB"/>
        </w:rPr>
      </w:pPr>
      <w:bookmarkStart w:id="0" w:name="_Hlk30664415"/>
      <w:r w:rsidRPr="004C317C">
        <w:rPr>
          <w:rFonts w:ascii="Arial" w:hAnsi="Arial" w:cs="Arial"/>
          <w:b/>
          <w:sz w:val="24"/>
          <w:szCs w:val="24"/>
          <w:lang w:val="en-GB"/>
        </w:rPr>
        <w:t>Customs bond request</w:t>
      </w:r>
      <w:r w:rsidRPr="004C317C">
        <w:rPr>
          <w:rFonts w:ascii="Arial" w:hAnsi="Arial" w:cs="Arial"/>
          <w:sz w:val="24"/>
          <w:szCs w:val="24"/>
          <w:lang w:val="en-GB"/>
        </w:rPr>
        <w:t xml:space="preserve"> € 250 / </w:t>
      </w:r>
      <w:r w:rsidRPr="004C317C">
        <w:rPr>
          <w:rFonts w:ascii="Arial" w:hAnsi="Arial" w:cs="Arial"/>
          <w:b/>
          <w:sz w:val="24"/>
          <w:szCs w:val="24"/>
          <w:lang w:val="en-GB"/>
        </w:rPr>
        <w:t>customs bond termination</w:t>
      </w:r>
      <w:r w:rsidRPr="004C317C">
        <w:rPr>
          <w:rFonts w:ascii="Arial" w:hAnsi="Arial" w:cs="Arial"/>
          <w:sz w:val="24"/>
          <w:szCs w:val="24"/>
          <w:lang w:val="en-GB"/>
        </w:rPr>
        <w:t xml:space="preserve"> € 190 / </w:t>
      </w:r>
      <w:r w:rsidRPr="004C317C">
        <w:rPr>
          <w:rFonts w:ascii="Arial" w:hAnsi="Arial" w:cs="Arial"/>
          <w:b/>
          <w:sz w:val="24"/>
          <w:szCs w:val="24"/>
          <w:lang w:val="en-GB"/>
        </w:rPr>
        <w:t>administrative fees on duties disbursement</w:t>
      </w:r>
      <w:r w:rsidRPr="004C317C">
        <w:rPr>
          <w:rFonts w:ascii="Arial" w:hAnsi="Arial" w:cs="Arial"/>
          <w:sz w:val="24"/>
          <w:szCs w:val="24"/>
          <w:lang w:val="en-GB"/>
        </w:rPr>
        <w:t xml:space="preserve"> 10% </w:t>
      </w:r>
    </w:p>
    <w:p w14:paraId="51B23D0D" w14:textId="77777777" w:rsidR="00464E79" w:rsidRPr="004C317C" w:rsidRDefault="00464E79" w:rsidP="00464E79">
      <w:pPr>
        <w:pStyle w:val="ListParagraph"/>
        <w:rPr>
          <w:rFonts w:ascii="Arial" w:hAnsi="Arial" w:cs="Arial"/>
          <w:i/>
          <w:iCs/>
          <w:sz w:val="24"/>
          <w:szCs w:val="24"/>
        </w:rPr>
      </w:pPr>
      <w:r w:rsidRPr="004C317C">
        <w:rPr>
          <w:rFonts w:ascii="Arial" w:hAnsi="Arial" w:cs="Arial"/>
          <w:i/>
          <w:iCs/>
          <w:sz w:val="24"/>
          <w:szCs w:val="24"/>
        </w:rPr>
        <w:t xml:space="preserve">The bond normally is an option for sea mode only in a situation where final residence documentation </w:t>
      </w:r>
      <w:proofErr w:type="gramStart"/>
      <w:r w:rsidRPr="004C317C">
        <w:rPr>
          <w:rFonts w:ascii="Arial" w:hAnsi="Arial" w:cs="Arial"/>
          <w:i/>
          <w:iCs/>
          <w:sz w:val="24"/>
          <w:szCs w:val="24"/>
        </w:rPr>
        <w:t>are</w:t>
      </w:r>
      <w:proofErr w:type="gramEnd"/>
      <w:r w:rsidRPr="004C317C">
        <w:rPr>
          <w:rFonts w:ascii="Arial" w:hAnsi="Arial" w:cs="Arial"/>
          <w:i/>
          <w:iCs/>
          <w:sz w:val="24"/>
          <w:szCs w:val="24"/>
        </w:rPr>
        <w:t xml:space="preserve"> not available to a free import customs clearance upon arrival of the shipment but customer wish an immediate release of the freight – so it random applies and upon shipper’s choice</w:t>
      </w:r>
    </w:p>
    <w:bookmarkEnd w:id="0"/>
    <w:p w14:paraId="3DDCFDA8" w14:textId="77777777" w:rsidR="00464E79" w:rsidRPr="004C317C" w:rsidRDefault="00464E79" w:rsidP="00464E79">
      <w:pPr>
        <w:pStyle w:val="ListParagraph"/>
        <w:rPr>
          <w:rFonts w:ascii="Arial" w:hAnsi="Arial" w:cs="Arial"/>
          <w:sz w:val="24"/>
          <w:szCs w:val="24"/>
        </w:rPr>
      </w:pPr>
    </w:p>
    <w:p w14:paraId="61FBD904" w14:textId="77777777" w:rsidR="00464E79" w:rsidRPr="004C317C" w:rsidRDefault="00464E79" w:rsidP="00464E79">
      <w:pPr>
        <w:ind w:left="720"/>
        <w:rPr>
          <w:rFonts w:ascii="Arial" w:hAnsi="Arial" w:cs="Arial"/>
          <w:sz w:val="24"/>
          <w:szCs w:val="24"/>
        </w:rPr>
      </w:pPr>
    </w:p>
    <w:p w14:paraId="15C15721" w14:textId="77777777" w:rsidR="00464E79" w:rsidRPr="004C317C" w:rsidRDefault="00464E79" w:rsidP="00464E79">
      <w:pPr>
        <w:pStyle w:val="ListParagraph"/>
        <w:rPr>
          <w:rFonts w:ascii="Arial" w:hAnsi="Arial" w:cs="Arial"/>
          <w:sz w:val="24"/>
          <w:szCs w:val="24"/>
        </w:rPr>
      </w:pPr>
    </w:p>
    <w:p w14:paraId="35385D50" w14:textId="77777777" w:rsidR="00464E79" w:rsidRPr="004C317C" w:rsidRDefault="00464E79" w:rsidP="00464E79">
      <w:pPr>
        <w:tabs>
          <w:tab w:val="left" w:pos="1440"/>
        </w:tabs>
        <w:rPr>
          <w:rFonts w:ascii="Arial" w:hAnsi="Arial" w:cs="Arial"/>
          <w:b/>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8356"/>
      </w:tblGrid>
      <w:tr w:rsidR="00464E79" w:rsidRPr="004C317C" w14:paraId="7E7D13FC" w14:textId="77777777" w:rsidTr="00E70989">
        <w:tc>
          <w:tcPr>
            <w:tcW w:w="1390" w:type="dxa"/>
            <w:shd w:val="clear" w:color="auto" w:fill="92D050"/>
            <w:hideMark/>
          </w:tcPr>
          <w:p w14:paraId="4E60951C" w14:textId="77777777" w:rsidR="00464E79" w:rsidRPr="004C317C" w:rsidRDefault="00464E79" w:rsidP="00E70989">
            <w:pPr>
              <w:rPr>
                <w:rFonts w:ascii="Arial" w:hAnsi="Arial" w:cs="Arial"/>
                <w:b/>
                <w:sz w:val="24"/>
                <w:szCs w:val="24"/>
              </w:rPr>
            </w:pPr>
            <w:r w:rsidRPr="004C317C">
              <w:rPr>
                <w:rFonts w:ascii="Arial" w:hAnsi="Arial" w:cs="Arial"/>
                <w:b/>
                <w:sz w:val="24"/>
                <w:szCs w:val="24"/>
              </w:rPr>
              <w:lastRenderedPageBreak/>
              <w:t>Inclusions:</w:t>
            </w:r>
          </w:p>
        </w:tc>
        <w:tc>
          <w:tcPr>
            <w:tcW w:w="8356" w:type="dxa"/>
            <w:hideMark/>
          </w:tcPr>
          <w:p w14:paraId="6A454536" w14:textId="77777777" w:rsidR="00464E79" w:rsidRPr="004C317C" w:rsidRDefault="00464E79" w:rsidP="00E70989">
            <w:pPr>
              <w:spacing w:before="240" w:after="200"/>
              <w:jc w:val="both"/>
              <w:rPr>
                <w:rFonts w:ascii="Arial" w:hAnsi="Arial" w:cs="Arial"/>
                <w:sz w:val="24"/>
                <w:szCs w:val="24"/>
              </w:rPr>
            </w:pPr>
            <w:r w:rsidRPr="004C317C">
              <w:rPr>
                <w:rFonts w:ascii="Arial" w:hAnsi="Arial" w:cs="Arial"/>
                <w:sz w:val="24"/>
                <w:szCs w:val="24"/>
              </w:rPr>
              <w:t xml:space="preserve">Import customs formalities, transport of container/lift vans, unloading, assuming normal access delivery, one-time placement of the items into the residence, unpacking of personal effects onto main premises, standard furniture reassembly, removal of debris on the date of delivery, returning the empty container to port. </w:t>
            </w:r>
          </w:p>
        </w:tc>
      </w:tr>
      <w:tr w:rsidR="00464E79" w:rsidRPr="004C317C" w14:paraId="52E44F81" w14:textId="77777777" w:rsidTr="00E70989">
        <w:tc>
          <w:tcPr>
            <w:tcW w:w="1390" w:type="dxa"/>
            <w:shd w:val="clear" w:color="auto" w:fill="92D050"/>
            <w:hideMark/>
          </w:tcPr>
          <w:p w14:paraId="1F74B5EA" w14:textId="77777777" w:rsidR="00464E79" w:rsidRPr="004C317C" w:rsidRDefault="00464E79" w:rsidP="00E70989">
            <w:pPr>
              <w:rPr>
                <w:rFonts w:ascii="Arial" w:hAnsi="Arial" w:cs="Arial"/>
                <w:b/>
                <w:sz w:val="24"/>
                <w:szCs w:val="24"/>
              </w:rPr>
            </w:pPr>
            <w:r w:rsidRPr="004C317C">
              <w:rPr>
                <w:rFonts w:ascii="Arial" w:hAnsi="Arial" w:cs="Arial"/>
                <w:b/>
                <w:sz w:val="24"/>
                <w:szCs w:val="24"/>
              </w:rPr>
              <w:t>Exclusions:</w:t>
            </w:r>
          </w:p>
        </w:tc>
        <w:tc>
          <w:tcPr>
            <w:tcW w:w="8356" w:type="dxa"/>
          </w:tcPr>
          <w:p w14:paraId="5B73A627" w14:textId="77777777" w:rsidR="00464E79" w:rsidRPr="004C317C" w:rsidRDefault="00464E79" w:rsidP="00E70989">
            <w:pPr>
              <w:rPr>
                <w:rFonts w:ascii="Arial" w:hAnsi="Arial" w:cs="Arial"/>
                <w:sz w:val="24"/>
                <w:szCs w:val="24"/>
                <w:lang w:val="en-GB"/>
              </w:rPr>
            </w:pPr>
          </w:p>
          <w:p w14:paraId="7EB9FF54" w14:textId="77777777" w:rsidR="00464E79" w:rsidRPr="004C317C" w:rsidRDefault="00464E79" w:rsidP="00E70989">
            <w:pPr>
              <w:rPr>
                <w:rFonts w:ascii="Arial" w:hAnsi="Arial" w:cs="Arial"/>
                <w:sz w:val="24"/>
                <w:szCs w:val="24"/>
                <w:lang w:val="en-GB"/>
              </w:rPr>
            </w:pPr>
            <w:proofErr w:type="spellStart"/>
            <w:r w:rsidRPr="004C317C">
              <w:rPr>
                <w:rFonts w:ascii="Arial" w:hAnsi="Arial" w:cs="Arial"/>
                <w:sz w:val="24"/>
                <w:szCs w:val="24"/>
                <w:lang w:val="en-GB"/>
              </w:rPr>
              <w:t>Thc</w:t>
            </w:r>
            <w:proofErr w:type="spellEnd"/>
            <w:r w:rsidRPr="004C317C">
              <w:rPr>
                <w:rFonts w:ascii="Arial" w:hAnsi="Arial" w:cs="Arial"/>
                <w:sz w:val="24"/>
                <w:szCs w:val="24"/>
                <w:lang w:val="en-GB"/>
              </w:rPr>
              <w:t xml:space="preserve"> and port fees, taxes and duties, security and customs inspection fees, X-ray scanning, demurrage/detention or rental charges of the container, insurance, weekend labour, delivery to residence with abnormal access or above the 1</w:t>
            </w:r>
            <w:r w:rsidRPr="004C317C">
              <w:rPr>
                <w:rFonts w:ascii="Arial" w:hAnsi="Arial" w:cs="Arial"/>
                <w:sz w:val="24"/>
                <w:szCs w:val="24"/>
                <w:vertAlign w:val="superscript"/>
                <w:lang w:val="en-GB"/>
              </w:rPr>
              <w:t>st</w:t>
            </w:r>
            <w:r w:rsidRPr="004C317C">
              <w:rPr>
                <w:rFonts w:ascii="Arial" w:hAnsi="Arial" w:cs="Arial"/>
                <w:sz w:val="24"/>
                <w:szCs w:val="24"/>
                <w:lang w:val="en-GB"/>
              </w:rPr>
              <w:t xml:space="preserve"> floor, lift, shuttle service, parking permits, long walk, electrician, stair carry, handyman services, </w:t>
            </w:r>
            <w:proofErr w:type="spellStart"/>
            <w:r w:rsidRPr="004C317C">
              <w:rPr>
                <w:rFonts w:ascii="Arial" w:hAnsi="Arial" w:cs="Arial"/>
                <w:sz w:val="24"/>
                <w:szCs w:val="24"/>
                <w:lang w:val="en-GB"/>
              </w:rPr>
              <w:t>uncrating</w:t>
            </w:r>
            <w:proofErr w:type="spellEnd"/>
            <w:r w:rsidRPr="004C317C">
              <w:rPr>
                <w:rFonts w:ascii="Arial" w:hAnsi="Arial" w:cs="Arial"/>
                <w:sz w:val="24"/>
                <w:szCs w:val="24"/>
                <w:lang w:val="en-GB"/>
              </w:rPr>
              <w:t>, piano or safe handling ,third party service for reassembling of new bought furniture, maid service and similar.</w:t>
            </w:r>
          </w:p>
          <w:p w14:paraId="40853F90" w14:textId="77777777" w:rsidR="00464E79" w:rsidRPr="004C317C" w:rsidRDefault="00464E79" w:rsidP="00E70989">
            <w:pPr>
              <w:pStyle w:val="BodyText2"/>
              <w:tabs>
                <w:tab w:val="left" w:pos="1440"/>
              </w:tabs>
              <w:ind w:left="1440" w:hanging="1440"/>
              <w:rPr>
                <w:rFonts w:ascii="Arial" w:hAnsi="Arial" w:cs="Arial"/>
                <w:b/>
                <w:sz w:val="24"/>
                <w:szCs w:val="24"/>
              </w:rPr>
            </w:pPr>
          </w:p>
        </w:tc>
      </w:tr>
      <w:tr w:rsidR="00464E79" w:rsidRPr="004C317C" w14:paraId="2BD84A14" w14:textId="77777777" w:rsidTr="00E70989">
        <w:tc>
          <w:tcPr>
            <w:tcW w:w="1390" w:type="dxa"/>
            <w:shd w:val="clear" w:color="auto" w:fill="92D050"/>
            <w:hideMark/>
          </w:tcPr>
          <w:p w14:paraId="1BCAD9B0" w14:textId="77777777" w:rsidR="00464E79" w:rsidRPr="004C317C" w:rsidRDefault="00464E79" w:rsidP="00E70989">
            <w:pPr>
              <w:rPr>
                <w:rFonts w:ascii="Arial" w:hAnsi="Arial" w:cs="Arial"/>
                <w:b/>
                <w:sz w:val="24"/>
                <w:szCs w:val="24"/>
              </w:rPr>
            </w:pPr>
            <w:r w:rsidRPr="004C317C">
              <w:rPr>
                <w:rFonts w:ascii="Arial" w:hAnsi="Arial" w:cs="Arial"/>
                <w:b/>
                <w:sz w:val="24"/>
                <w:szCs w:val="24"/>
              </w:rPr>
              <w:t xml:space="preserve">Estimated port fees at destination </w:t>
            </w:r>
          </w:p>
        </w:tc>
        <w:tc>
          <w:tcPr>
            <w:tcW w:w="8356" w:type="dxa"/>
          </w:tcPr>
          <w:p w14:paraId="500DF5E6" w14:textId="77777777" w:rsidR="00464E79" w:rsidRPr="004C317C" w:rsidRDefault="00464E79" w:rsidP="00E70989">
            <w:pPr>
              <w:rPr>
                <w:rFonts w:ascii="Arial" w:hAnsi="Arial" w:cs="Arial"/>
                <w:b/>
                <w:sz w:val="24"/>
                <w:szCs w:val="24"/>
              </w:rPr>
            </w:pPr>
          </w:p>
          <w:p w14:paraId="429F64E7" w14:textId="77777777" w:rsidR="00464E79" w:rsidRPr="004C317C" w:rsidRDefault="00464E79" w:rsidP="00E70989">
            <w:pPr>
              <w:rPr>
                <w:rFonts w:ascii="Arial" w:hAnsi="Arial" w:cs="Arial"/>
                <w:b/>
                <w:sz w:val="24"/>
                <w:szCs w:val="24"/>
                <w:lang w:val="fr-FR"/>
              </w:rPr>
            </w:pPr>
            <w:r w:rsidRPr="004C317C">
              <w:rPr>
                <w:rFonts w:ascii="Arial" w:hAnsi="Arial" w:cs="Arial"/>
                <w:b/>
                <w:sz w:val="24"/>
                <w:szCs w:val="24"/>
                <w:lang w:val="fr-FR"/>
              </w:rPr>
              <w:t xml:space="preserve">FCL </w:t>
            </w:r>
            <w:proofErr w:type="spellStart"/>
            <w:r w:rsidRPr="004C317C">
              <w:rPr>
                <w:rFonts w:ascii="Arial" w:hAnsi="Arial" w:cs="Arial"/>
                <w:b/>
                <w:sz w:val="24"/>
                <w:szCs w:val="24"/>
                <w:lang w:val="fr-FR"/>
              </w:rPr>
              <w:t>Thc</w:t>
            </w:r>
            <w:proofErr w:type="spellEnd"/>
            <w:r w:rsidRPr="004C317C">
              <w:rPr>
                <w:rFonts w:ascii="Arial" w:hAnsi="Arial" w:cs="Arial"/>
                <w:b/>
                <w:sz w:val="24"/>
                <w:szCs w:val="24"/>
                <w:lang w:val="fr-FR"/>
              </w:rPr>
              <w:t xml:space="preserve"> : 1x20 container € 300.00 / 1x40 container € 350.00 </w:t>
            </w:r>
          </w:p>
          <w:p w14:paraId="77EEBE6B" w14:textId="77777777" w:rsidR="00464E79" w:rsidRPr="004C317C" w:rsidRDefault="00464E79" w:rsidP="00E70989">
            <w:pPr>
              <w:rPr>
                <w:rFonts w:ascii="Arial" w:hAnsi="Arial" w:cs="Arial"/>
                <w:b/>
                <w:sz w:val="24"/>
                <w:szCs w:val="24"/>
                <w:lang w:val="fr-FR"/>
              </w:rPr>
            </w:pPr>
          </w:p>
          <w:p w14:paraId="1D0BFA2C" w14:textId="77777777" w:rsidR="00464E79" w:rsidRPr="004C317C" w:rsidRDefault="00464E79" w:rsidP="00E70989">
            <w:pPr>
              <w:rPr>
                <w:rFonts w:ascii="Arial" w:hAnsi="Arial" w:cs="Arial"/>
                <w:b/>
                <w:sz w:val="24"/>
                <w:szCs w:val="24"/>
              </w:rPr>
            </w:pPr>
          </w:p>
          <w:p w14:paraId="6F8921A7" w14:textId="77777777" w:rsidR="00464E79" w:rsidRPr="004C317C" w:rsidRDefault="00464E79" w:rsidP="00E70989">
            <w:pPr>
              <w:rPr>
                <w:rFonts w:ascii="Arial" w:hAnsi="Arial" w:cs="Arial"/>
                <w:b/>
                <w:sz w:val="24"/>
                <w:szCs w:val="24"/>
              </w:rPr>
            </w:pPr>
            <w:r w:rsidRPr="004C317C">
              <w:rPr>
                <w:rFonts w:ascii="Arial" w:hAnsi="Arial" w:cs="Arial"/>
                <w:b/>
                <w:sz w:val="24"/>
                <w:szCs w:val="24"/>
              </w:rPr>
              <w:t xml:space="preserve">LCL </w:t>
            </w:r>
            <w:proofErr w:type="gramStart"/>
            <w:r w:rsidRPr="004C317C">
              <w:rPr>
                <w:rFonts w:ascii="Arial" w:hAnsi="Arial" w:cs="Arial"/>
                <w:b/>
                <w:sz w:val="24"/>
                <w:szCs w:val="24"/>
              </w:rPr>
              <w:t>freights :</w:t>
            </w:r>
            <w:proofErr w:type="gramEnd"/>
            <w:r w:rsidRPr="004C317C">
              <w:rPr>
                <w:rFonts w:ascii="Arial" w:hAnsi="Arial" w:cs="Arial"/>
                <w:b/>
                <w:sz w:val="24"/>
                <w:szCs w:val="24"/>
              </w:rPr>
              <w:t xml:space="preserve"> approx. euro 120 per </w:t>
            </w:r>
            <w:proofErr w:type="spellStart"/>
            <w:r w:rsidRPr="004C317C">
              <w:rPr>
                <w:rFonts w:ascii="Arial" w:hAnsi="Arial" w:cs="Arial"/>
                <w:b/>
                <w:sz w:val="24"/>
                <w:szCs w:val="24"/>
              </w:rPr>
              <w:t>cbm</w:t>
            </w:r>
            <w:proofErr w:type="spellEnd"/>
            <w:r w:rsidRPr="004C317C">
              <w:rPr>
                <w:rFonts w:ascii="Arial" w:hAnsi="Arial" w:cs="Arial"/>
                <w:b/>
                <w:sz w:val="24"/>
                <w:szCs w:val="24"/>
              </w:rPr>
              <w:t xml:space="preserve">, to be confirmed by your freight agency accordingly to the </w:t>
            </w:r>
            <w:proofErr w:type="spellStart"/>
            <w:r w:rsidRPr="004C317C">
              <w:rPr>
                <w:rFonts w:ascii="Arial" w:hAnsi="Arial" w:cs="Arial"/>
                <w:b/>
                <w:sz w:val="24"/>
                <w:szCs w:val="24"/>
              </w:rPr>
              <w:t>deconsolidator</w:t>
            </w:r>
            <w:proofErr w:type="spellEnd"/>
            <w:r w:rsidRPr="004C317C">
              <w:rPr>
                <w:rFonts w:ascii="Arial" w:hAnsi="Arial" w:cs="Arial"/>
                <w:b/>
                <w:sz w:val="24"/>
                <w:szCs w:val="24"/>
              </w:rPr>
              <w:t xml:space="preserve"> used for the shipping. Minimum fees charged </w:t>
            </w:r>
            <w:proofErr w:type="gramStart"/>
            <w:r w:rsidRPr="004C317C">
              <w:rPr>
                <w:rFonts w:ascii="Arial" w:hAnsi="Arial" w:cs="Arial"/>
                <w:b/>
                <w:sz w:val="24"/>
                <w:szCs w:val="24"/>
              </w:rPr>
              <w:t>average</w:t>
            </w:r>
            <w:proofErr w:type="gramEnd"/>
            <w:r w:rsidRPr="004C317C">
              <w:rPr>
                <w:rFonts w:ascii="Arial" w:hAnsi="Arial" w:cs="Arial"/>
                <w:b/>
                <w:sz w:val="24"/>
                <w:szCs w:val="24"/>
              </w:rPr>
              <w:t xml:space="preserve"> 600/800 euros.</w:t>
            </w:r>
          </w:p>
          <w:p w14:paraId="7ADD024B" w14:textId="77777777" w:rsidR="00464E79" w:rsidRPr="004C317C" w:rsidRDefault="00464E79" w:rsidP="00E70989">
            <w:pPr>
              <w:rPr>
                <w:rFonts w:ascii="Arial" w:hAnsi="Arial" w:cs="Arial"/>
                <w:b/>
                <w:sz w:val="24"/>
                <w:szCs w:val="24"/>
              </w:rPr>
            </w:pPr>
          </w:p>
          <w:p w14:paraId="0BADF68E" w14:textId="77777777" w:rsidR="00464E79" w:rsidRPr="004C317C" w:rsidRDefault="00464E79" w:rsidP="00E70989">
            <w:pPr>
              <w:rPr>
                <w:rFonts w:ascii="Arial" w:hAnsi="Arial" w:cs="Arial"/>
                <w:b/>
                <w:sz w:val="24"/>
                <w:szCs w:val="24"/>
              </w:rPr>
            </w:pPr>
          </w:p>
        </w:tc>
      </w:tr>
      <w:tr w:rsidR="00464E79" w:rsidRPr="004C317C" w14:paraId="29F212D7" w14:textId="77777777" w:rsidTr="00E70989">
        <w:tc>
          <w:tcPr>
            <w:tcW w:w="1390" w:type="dxa"/>
            <w:shd w:val="clear" w:color="auto" w:fill="92D050"/>
          </w:tcPr>
          <w:p w14:paraId="239EA65A" w14:textId="77777777" w:rsidR="00464E79" w:rsidRPr="004C317C" w:rsidRDefault="00464E79" w:rsidP="00E70989">
            <w:pPr>
              <w:rPr>
                <w:rFonts w:ascii="Arial" w:hAnsi="Arial" w:cs="Arial"/>
                <w:b/>
                <w:sz w:val="24"/>
                <w:szCs w:val="24"/>
              </w:rPr>
            </w:pPr>
          </w:p>
          <w:p w14:paraId="1860904E" w14:textId="77777777" w:rsidR="00464E79" w:rsidRPr="004C317C" w:rsidRDefault="00464E79" w:rsidP="00E70989">
            <w:pPr>
              <w:rPr>
                <w:rFonts w:ascii="Arial" w:hAnsi="Arial" w:cs="Arial"/>
                <w:b/>
                <w:sz w:val="24"/>
                <w:szCs w:val="24"/>
              </w:rPr>
            </w:pPr>
            <w:r w:rsidRPr="004C317C">
              <w:rPr>
                <w:rFonts w:ascii="Arial" w:hAnsi="Arial" w:cs="Arial"/>
                <w:b/>
                <w:sz w:val="24"/>
                <w:szCs w:val="24"/>
              </w:rPr>
              <w:t>Remarks</w:t>
            </w:r>
          </w:p>
        </w:tc>
        <w:tc>
          <w:tcPr>
            <w:tcW w:w="8356" w:type="dxa"/>
          </w:tcPr>
          <w:p w14:paraId="4B8CD05C" w14:textId="77777777" w:rsidR="00464E79" w:rsidRPr="004C317C" w:rsidRDefault="00464E79" w:rsidP="00464E79">
            <w:pPr>
              <w:pStyle w:val="ListParagraph"/>
              <w:numPr>
                <w:ilvl w:val="0"/>
                <w:numId w:val="1"/>
              </w:numPr>
              <w:rPr>
                <w:rFonts w:ascii="Arial" w:hAnsi="Arial" w:cs="Arial"/>
                <w:b/>
                <w:sz w:val="24"/>
                <w:szCs w:val="24"/>
              </w:rPr>
            </w:pPr>
            <w:r w:rsidRPr="004C317C">
              <w:rPr>
                <w:rFonts w:ascii="Arial" w:hAnsi="Arial" w:cs="Arial"/>
                <w:b/>
                <w:sz w:val="24"/>
                <w:szCs w:val="24"/>
              </w:rPr>
              <w:t xml:space="preserve">Payment </w:t>
            </w:r>
            <w:proofErr w:type="gramStart"/>
            <w:r w:rsidRPr="004C317C">
              <w:rPr>
                <w:rFonts w:ascii="Arial" w:hAnsi="Arial" w:cs="Arial"/>
                <w:b/>
                <w:sz w:val="24"/>
                <w:szCs w:val="24"/>
              </w:rPr>
              <w:t xml:space="preserve">terms </w:t>
            </w:r>
            <w:r w:rsidRPr="004C317C">
              <w:rPr>
                <w:rFonts w:ascii="Arial" w:hAnsi="Arial" w:cs="Arial"/>
                <w:sz w:val="24"/>
                <w:szCs w:val="24"/>
              </w:rPr>
              <w:t>:</w:t>
            </w:r>
            <w:proofErr w:type="gramEnd"/>
            <w:r w:rsidRPr="004C317C">
              <w:rPr>
                <w:rFonts w:ascii="Arial" w:hAnsi="Arial" w:cs="Arial"/>
                <w:sz w:val="24"/>
                <w:szCs w:val="24"/>
              </w:rPr>
              <w:t xml:space="preserve"> 30 days credit only to FIDI. Credit extended </w:t>
            </w:r>
            <w:proofErr w:type="gramStart"/>
            <w:r w:rsidRPr="004C317C">
              <w:rPr>
                <w:rFonts w:ascii="Arial" w:hAnsi="Arial" w:cs="Arial"/>
                <w:sz w:val="24"/>
                <w:szCs w:val="24"/>
              </w:rPr>
              <w:t>to  IAM</w:t>
            </w:r>
            <w:proofErr w:type="gramEnd"/>
            <w:r w:rsidRPr="004C317C">
              <w:rPr>
                <w:rFonts w:ascii="Arial" w:hAnsi="Arial" w:cs="Arial"/>
                <w:sz w:val="24"/>
                <w:szCs w:val="24"/>
              </w:rPr>
              <w:t xml:space="preserve"> agents provided they are Gosselin preferred </w:t>
            </w:r>
            <w:proofErr w:type="gramStart"/>
            <w:r w:rsidRPr="004C317C">
              <w:rPr>
                <w:rFonts w:ascii="Arial" w:hAnsi="Arial" w:cs="Arial"/>
                <w:sz w:val="24"/>
                <w:szCs w:val="24"/>
              </w:rPr>
              <w:t>partners .</w:t>
            </w:r>
            <w:proofErr w:type="gramEnd"/>
            <w:r w:rsidRPr="004C317C">
              <w:rPr>
                <w:rFonts w:ascii="Arial" w:hAnsi="Arial" w:cs="Arial"/>
                <w:sz w:val="24"/>
                <w:szCs w:val="24"/>
              </w:rPr>
              <w:t xml:space="preserve"> Prepayment in all other cases.</w:t>
            </w:r>
          </w:p>
          <w:p w14:paraId="742232F5" w14:textId="77777777" w:rsidR="00464E79" w:rsidRPr="004C317C" w:rsidRDefault="00464E79" w:rsidP="00464E79">
            <w:pPr>
              <w:pStyle w:val="ListParagraph"/>
              <w:numPr>
                <w:ilvl w:val="0"/>
                <w:numId w:val="1"/>
              </w:numPr>
              <w:rPr>
                <w:rFonts w:ascii="Arial" w:hAnsi="Arial" w:cs="Arial"/>
                <w:b/>
                <w:sz w:val="24"/>
                <w:szCs w:val="24"/>
              </w:rPr>
            </w:pPr>
            <w:proofErr w:type="gramStart"/>
            <w:r w:rsidRPr="004C317C">
              <w:rPr>
                <w:rFonts w:ascii="Arial" w:hAnsi="Arial" w:cs="Arial"/>
                <w:b/>
                <w:sz w:val="24"/>
                <w:szCs w:val="24"/>
              </w:rPr>
              <w:t>Validity :</w:t>
            </w:r>
            <w:proofErr w:type="gramEnd"/>
            <w:r w:rsidRPr="004C317C">
              <w:rPr>
                <w:rFonts w:ascii="Arial" w:hAnsi="Arial" w:cs="Arial"/>
                <w:b/>
                <w:sz w:val="24"/>
                <w:szCs w:val="24"/>
              </w:rPr>
              <w:t xml:space="preserve"> </w:t>
            </w:r>
            <w:r w:rsidRPr="004C317C">
              <w:rPr>
                <w:rFonts w:ascii="Arial" w:hAnsi="Arial" w:cs="Arial"/>
                <w:sz w:val="24"/>
                <w:szCs w:val="24"/>
              </w:rPr>
              <w:t>3 months</w:t>
            </w:r>
          </w:p>
          <w:p w14:paraId="5F09E387" w14:textId="77777777" w:rsidR="00464E79" w:rsidRPr="004C317C" w:rsidRDefault="00464E79" w:rsidP="00464E79">
            <w:pPr>
              <w:pStyle w:val="ListParagraph"/>
              <w:numPr>
                <w:ilvl w:val="0"/>
                <w:numId w:val="1"/>
              </w:numPr>
              <w:rPr>
                <w:rFonts w:ascii="Arial" w:hAnsi="Arial" w:cs="Arial"/>
                <w:b/>
                <w:sz w:val="24"/>
                <w:szCs w:val="24"/>
              </w:rPr>
            </w:pPr>
            <w:r w:rsidRPr="004C317C">
              <w:rPr>
                <w:rFonts w:ascii="Arial" w:hAnsi="Arial" w:cs="Arial"/>
                <w:b/>
                <w:sz w:val="24"/>
                <w:szCs w:val="24"/>
              </w:rPr>
              <w:t xml:space="preserve">General terms and </w:t>
            </w:r>
            <w:proofErr w:type="gramStart"/>
            <w:r w:rsidRPr="004C317C">
              <w:rPr>
                <w:rFonts w:ascii="Arial" w:hAnsi="Arial" w:cs="Arial"/>
                <w:b/>
                <w:sz w:val="24"/>
                <w:szCs w:val="24"/>
              </w:rPr>
              <w:t>conditions :</w:t>
            </w:r>
            <w:proofErr w:type="gramEnd"/>
            <w:r w:rsidRPr="004C317C">
              <w:rPr>
                <w:rFonts w:ascii="Arial" w:hAnsi="Arial" w:cs="Arial"/>
                <w:b/>
                <w:sz w:val="24"/>
                <w:szCs w:val="24"/>
              </w:rPr>
              <w:t xml:space="preserve"> </w:t>
            </w:r>
            <w:r w:rsidRPr="004C317C">
              <w:rPr>
                <w:rFonts w:ascii="Arial" w:hAnsi="Arial" w:cs="Arial"/>
                <w:sz w:val="24"/>
                <w:szCs w:val="24"/>
              </w:rPr>
              <w:t>as embedded in this quote-form</w:t>
            </w:r>
          </w:p>
          <w:p w14:paraId="196A9C12" w14:textId="77777777" w:rsidR="00464E79" w:rsidRPr="004C317C" w:rsidRDefault="00464E79" w:rsidP="00E70989">
            <w:pPr>
              <w:pStyle w:val="ListParagraph"/>
              <w:rPr>
                <w:rFonts w:ascii="Arial" w:hAnsi="Arial" w:cs="Arial"/>
                <w:b/>
                <w:sz w:val="24"/>
                <w:szCs w:val="24"/>
              </w:rPr>
            </w:pPr>
          </w:p>
        </w:tc>
      </w:tr>
    </w:tbl>
    <w:p w14:paraId="46C993B4" w14:textId="77777777" w:rsidR="00464E79" w:rsidRPr="004C317C" w:rsidRDefault="00464E79" w:rsidP="00464E79">
      <w:pPr>
        <w:rPr>
          <w:rFonts w:ascii="Arial" w:hAnsi="Arial" w:cs="Arial"/>
          <w:sz w:val="24"/>
          <w:szCs w:val="24"/>
          <w:shd w:val="clear" w:color="auto" w:fill="92D050"/>
        </w:rPr>
      </w:pPr>
      <w:bookmarkStart w:id="1" w:name="_Hlk25222149"/>
    </w:p>
    <w:p w14:paraId="3E3432D0" w14:textId="77777777" w:rsidR="00464E79" w:rsidRPr="004C317C" w:rsidRDefault="00464E79" w:rsidP="00464E79">
      <w:pPr>
        <w:ind w:right="-143"/>
        <w:rPr>
          <w:rFonts w:ascii="Arial" w:hAnsi="Arial" w:cs="Arial"/>
          <w:sz w:val="24"/>
          <w:szCs w:val="24"/>
        </w:rPr>
      </w:pPr>
      <w:r w:rsidRPr="004C317C">
        <w:rPr>
          <w:rFonts w:ascii="Arial" w:hAnsi="Arial" w:cs="Arial"/>
          <w:sz w:val="24"/>
          <w:szCs w:val="24"/>
        </w:rPr>
        <w:t xml:space="preserve">Please confirm your booking to </w:t>
      </w:r>
    </w:p>
    <w:p w14:paraId="738E27E8" w14:textId="77777777" w:rsidR="00464E79" w:rsidRPr="004C317C" w:rsidRDefault="00464E79" w:rsidP="00464E79">
      <w:pPr>
        <w:spacing w:after="200" w:line="276" w:lineRule="auto"/>
        <w:rPr>
          <w:rFonts w:ascii="Arial" w:hAnsi="Arial" w:cs="Arial"/>
          <w:sz w:val="24"/>
          <w:szCs w:val="24"/>
        </w:rPr>
      </w:pPr>
      <w:r w:rsidRPr="004C317C">
        <w:rPr>
          <w:rFonts w:ascii="Arial" w:hAnsi="Arial" w:cs="Arial"/>
          <w:sz w:val="24"/>
          <w:szCs w:val="24"/>
        </w:rPr>
        <w:t xml:space="preserve">Email </w:t>
      </w:r>
      <w:hyperlink r:id="rId7" w:history="1">
        <w:r w:rsidRPr="004C317C">
          <w:rPr>
            <w:rStyle w:val="Hyperlink"/>
            <w:rFonts w:ascii="Arial" w:eastAsiaTheme="majorEastAsia" w:hAnsi="Arial" w:cs="Arial"/>
            <w:sz w:val="24"/>
            <w:szCs w:val="24"/>
          </w:rPr>
          <w:t>ITALY@gosselin-moving.com</w:t>
        </w:r>
      </w:hyperlink>
    </w:p>
    <w:p w14:paraId="2F9DE106" w14:textId="77777777" w:rsidR="00464E79" w:rsidRPr="004C317C" w:rsidRDefault="00464E79" w:rsidP="00464E79">
      <w:pPr>
        <w:rPr>
          <w:rFonts w:ascii="Arial" w:hAnsi="Arial" w:cs="Arial"/>
          <w:sz w:val="24"/>
          <w:szCs w:val="24"/>
        </w:rPr>
      </w:pPr>
    </w:p>
    <w:p w14:paraId="56CE72D4" w14:textId="77777777" w:rsidR="00464E79" w:rsidRPr="004C317C" w:rsidRDefault="00464E79" w:rsidP="00464E79">
      <w:pPr>
        <w:rPr>
          <w:rFonts w:ascii="Arial" w:hAnsi="Arial" w:cs="Arial"/>
          <w:sz w:val="24"/>
          <w:szCs w:val="24"/>
        </w:rPr>
      </w:pPr>
      <w:r w:rsidRPr="004C317C">
        <w:rPr>
          <w:rFonts w:ascii="Arial" w:hAnsi="Arial" w:cs="Arial"/>
          <w:sz w:val="24"/>
          <w:szCs w:val="24"/>
          <w:shd w:val="clear" w:color="auto" w:fill="92D050"/>
        </w:rPr>
        <w:t xml:space="preserve">Consignment instructions &amp; </w:t>
      </w:r>
      <w:proofErr w:type="gramStart"/>
      <w:r w:rsidRPr="004C317C">
        <w:rPr>
          <w:rFonts w:ascii="Arial" w:hAnsi="Arial" w:cs="Arial"/>
          <w:sz w:val="24"/>
          <w:szCs w:val="24"/>
          <w:shd w:val="clear" w:color="auto" w:fill="92D050"/>
        </w:rPr>
        <w:t>notify</w:t>
      </w:r>
      <w:r w:rsidRPr="004C317C">
        <w:rPr>
          <w:rFonts w:ascii="Arial" w:hAnsi="Arial" w:cs="Arial"/>
          <w:sz w:val="24"/>
          <w:szCs w:val="24"/>
        </w:rPr>
        <w:t xml:space="preserve"> :</w:t>
      </w:r>
      <w:proofErr w:type="gramEnd"/>
    </w:p>
    <w:p w14:paraId="49180C14" w14:textId="77777777" w:rsidR="00464E79" w:rsidRPr="004C317C" w:rsidRDefault="00464E79" w:rsidP="00464E79">
      <w:pPr>
        <w:rPr>
          <w:rFonts w:ascii="Arial" w:hAnsi="Arial" w:cs="Arial"/>
          <w:sz w:val="24"/>
          <w:szCs w:val="24"/>
        </w:rPr>
      </w:pPr>
      <w:r w:rsidRPr="004C317C">
        <w:rPr>
          <w:rFonts w:ascii="Arial" w:hAnsi="Arial" w:cs="Arial"/>
          <w:sz w:val="24"/>
          <w:szCs w:val="24"/>
        </w:rPr>
        <w:t>Shipper’s Full name as on passport</w:t>
      </w:r>
    </w:p>
    <w:p w14:paraId="3A9425AC" w14:textId="77777777" w:rsidR="00464E79" w:rsidRPr="004C317C" w:rsidRDefault="00464E79" w:rsidP="00464E79">
      <w:pPr>
        <w:rPr>
          <w:rFonts w:ascii="Arial" w:hAnsi="Arial" w:cs="Arial"/>
          <w:b/>
          <w:sz w:val="24"/>
          <w:szCs w:val="24"/>
          <w:lang w:val="it-IT"/>
        </w:rPr>
      </w:pPr>
      <w:r w:rsidRPr="004C317C">
        <w:rPr>
          <w:rFonts w:ascii="Arial" w:hAnsi="Arial" w:cs="Arial"/>
          <w:b/>
          <w:sz w:val="24"/>
          <w:szCs w:val="24"/>
          <w:lang w:val="it-IT"/>
        </w:rPr>
        <w:t>c/o Gosselin Mobility Italy</w:t>
      </w:r>
    </w:p>
    <w:p w14:paraId="6075F91F" w14:textId="77777777" w:rsidR="00464E79" w:rsidRPr="004C317C" w:rsidRDefault="00464E79" w:rsidP="00464E79">
      <w:pPr>
        <w:rPr>
          <w:rFonts w:ascii="Arial" w:hAnsi="Arial" w:cs="Arial"/>
          <w:sz w:val="24"/>
          <w:szCs w:val="24"/>
          <w:lang w:val="it-IT"/>
        </w:rPr>
      </w:pPr>
      <w:r w:rsidRPr="004C317C">
        <w:rPr>
          <w:rFonts w:ascii="Arial" w:hAnsi="Arial" w:cs="Arial"/>
          <w:sz w:val="24"/>
          <w:szCs w:val="24"/>
          <w:lang w:val="it-IT"/>
        </w:rPr>
        <w:t>Via Tito Trocchi, 68</w:t>
      </w:r>
    </w:p>
    <w:p w14:paraId="28E2F899" w14:textId="77777777" w:rsidR="00464E79" w:rsidRPr="004C317C" w:rsidRDefault="00464E79" w:rsidP="00464E79">
      <w:pPr>
        <w:rPr>
          <w:rFonts w:ascii="Arial" w:hAnsi="Arial" w:cs="Arial"/>
          <w:sz w:val="24"/>
          <w:szCs w:val="24"/>
          <w:lang w:val="en-GB"/>
        </w:rPr>
      </w:pPr>
      <w:r w:rsidRPr="004C317C">
        <w:rPr>
          <w:rFonts w:ascii="Arial" w:hAnsi="Arial" w:cs="Arial"/>
          <w:sz w:val="24"/>
          <w:szCs w:val="24"/>
          <w:lang w:val="en-GB"/>
        </w:rPr>
        <w:t>00166 Rome, Italy</w:t>
      </w:r>
    </w:p>
    <w:p w14:paraId="2667D35C" w14:textId="77777777" w:rsidR="00464E79" w:rsidRPr="004C317C" w:rsidRDefault="00464E79" w:rsidP="00464E79">
      <w:pPr>
        <w:rPr>
          <w:rFonts w:ascii="Arial" w:hAnsi="Arial" w:cs="Arial"/>
          <w:sz w:val="24"/>
          <w:szCs w:val="24"/>
        </w:rPr>
      </w:pPr>
      <w:r w:rsidRPr="004C317C">
        <w:rPr>
          <w:rFonts w:ascii="Arial" w:hAnsi="Arial" w:cs="Arial"/>
          <w:sz w:val="24"/>
          <w:szCs w:val="24"/>
        </w:rPr>
        <w:t>Tel. 06 66178336</w:t>
      </w:r>
    </w:p>
    <w:p w14:paraId="782438B9" w14:textId="77777777" w:rsidR="00464E79" w:rsidRPr="004C317C" w:rsidRDefault="00464E79" w:rsidP="00464E79">
      <w:pPr>
        <w:spacing w:after="200" w:line="276" w:lineRule="auto"/>
        <w:rPr>
          <w:rFonts w:ascii="Arial" w:hAnsi="Arial" w:cs="Arial"/>
          <w:sz w:val="24"/>
          <w:szCs w:val="24"/>
        </w:rPr>
      </w:pPr>
      <w:r w:rsidRPr="004C317C">
        <w:rPr>
          <w:rFonts w:ascii="Arial" w:hAnsi="Arial" w:cs="Arial"/>
          <w:sz w:val="24"/>
          <w:szCs w:val="24"/>
        </w:rPr>
        <w:t xml:space="preserve">Email </w:t>
      </w:r>
      <w:hyperlink r:id="rId8" w:history="1">
        <w:r w:rsidRPr="004C317C">
          <w:rPr>
            <w:rStyle w:val="Hyperlink"/>
            <w:rFonts w:ascii="Arial" w:eastAsiaTheme="majorEastAsia" w:hAnsi="Arial" w:cs="Arial"/>
            <w:sz w:val="24"/>
            <w:szCs w:val="24"/>
          </w:rPr>
          <w:t>ITALY@gosselin-moving.com</w:t>
        </w:r>
      </w:hyperlink>
    </w:p>
    <w:p w14:paraId="20A11C47" w14:textId="77777777" w:rsidR="00464E79" w:rsidRPr="004C317C" w:rsidRDefault="00464E79" w:rsidP="00464E79">
      <w:pPr>
        <w:spacing w:after="200" w:line="276" w:lineRule="auto"/>
        <w:rPr>
          <w:rFonts w:ascii="Arial" w:hAnsi="Arial" w:cs="Arial"/>
          <w:sz w:val="24"/>
          <w:szCs w:val="24"/>
        </w:rPr>
      </w:pPr>
    </w:p>
    <w:bookmarkEnd w:id="1"/>
    <w:p w14:paraId="5FC68810" w14:textId="77777777" w:rsidR="00464E79" w:rsidRPr="004C317C" w:rsidRDefault="00464E79" w:rsidP="00464E79">
      <w:pPr>
        <w:rPr>
          <w:rFonts w:ascii="Arial" w:hAnsi="Arial" w:cs="Arial"/>
          <w:sz w:val="24"/>
          <w:szCs w:val="24"/>
        </w:rPr>
      </w:pPr>
    </w:p>
    <w:p w14:paraId="5E5EB776" w14:textId="77777777" w:rsidR="00464E79" w:rsidRPr="004C317C" w:rsidRDefault="00464E79" w:rsidP="00464E79">
      <w:pPr>
        <w:rPr>
          <w:rFonts w:ascii="Arial" w:hAnsi="Arial" w:cs="Arial"/>
          <w:sz w:val="24"/>
          <w:szCs w:val="24"/>
        </w:rPr>
      </w:pPr>
    </w:p>
    <w:tbl>
      <w:tblPr>
        <w:tblW w:w="10200" w:type="dxa"/>
        <w:tblCellSpacing w:w="0" w:type="dxa"/>
        <w:tblCellMar>
          <w:left w:w="0" w:type="dxa"/>
          <w:right w:w="0" w:type="dxa"/>
        </w:tblCellMar>
        <w:tblLook w:val="04A0" w:firstRow="1" w:lastRow="0" w:firstColumn="1" w:lastColumn="0" w:noHBand="0" w:noVBand="1"/>
      </w:tblPr>
      <w:tblGrid>
        <w:gridCol w:w="10200"/>
      </w:tblGrid>
      <w:tr w:rsidR="00464E79" w:rsidRPr="004C317C" w14:paraId="44E6F3DE" w14:textId="77777777" w:rsidTr="00E70989">
        <w:trPr>
          <w:tblCellSpacing w:w="0" w:type="dxa"/>
        </w:trPr>
        <w:tc>
          <w:tcPr>
            <w:tcW w:w="0" w:type="auto"/>
            <w:vAlign w:val="center"/>
            <w:hideMark/>
          </w:tcPr>
          <w:p w14:paraId="72B1080D" w14:textId="77777777" w:rsidR="00464E79" w:rsidRPr="004C317C" w:rsidRDefault="00464E79" w:rsidP="00E70989">
            <w:pPr>
              <w:jc w:val="center"/>
              <w:rPr>
                <w:rFonts w:ascii="Arial" w:hAnsi="Arial" w:cs="Arial"/>
                <w:sz w:val="24"/>
                <w:szCs w:val="24"/>
                <w:lang w:val="nl-BE"/>
              </w:rPr>
            </w:pPr>
            <w:r w:rsidRPr="004C317C">
              <w:rPr>
                <w:rFonts w:ascii="Arial" w:hAnsi="Arial" w:cs="Arial"/>
                <w:sz w:val="24"/>
                <w:szCs w:val="24"/>
              </w:rPr>
              <w:pict w14:anchorId="4A95258B">
                <v:rect id="_x0000_i1025" style="width:489.05pt;height:1.5pt" o:hralign="center" o:hrstd="t" o:hr="t" fillcolor="#a0a0a0" stroked="f"/>
              </w:pict>
            </w:r>
          </w:p>
          <w:p w14:paraId="0C8EC0EE" w14:textId="77777777" w:rsidR="00464E79" w:rsidRPr="004C317C" w:rsidRDefault="00464E79" w:rsidP="00E70989">
            <w:pPr>
              <w:rPr>
                <w:rFonts w:ascii="Arial" w:hAnsi="Arial" w:cs="Arial"/>
                <w:sz w:val="24"/>
                <w:szCs w:val="24"/>
              </w:rPr>
            </w:pPr>
            <w:r w:rsidRPr="004C317C">
              <w:rPr>
                <w:rFonts w:ascii="Arial" w:hAnsi="Arial" w:cs="Arial"/>
                <w:sz w:val="24"/>
                <w:szCs w:val="24"/>
              </w:rPr>
              <w:t xml:space="preserve">All our transactions are subject to the General Removal Conditions, based upon the General Removal Conditions (BKV) 2008. You can find the text </w:t>
            </w:r>
            <w:hyperlink r:id="rId9" w:history="1">
              <w:r w:rsidRPr="004C317C">
                <w:rPr>
                  <w:rStyle w:val="Hyperlink"/>
                  <w:rFonts w:ascii="Arial" w:eastAsiaTheme="majorEastAsia" w:hAnsi="Arial" w:cs="Arial"/>
                  <w:sz w:val="24"/>
                  <w:szCs w:val="24"/>
                </w:rPr>
                <w:t>here</w:t>
              </w:r>
            </w:hyperlink>
            <w:r w:rsidRPr="004C317C">
              <w:rPr>
                <w:rFonts w:ascii="Arial" w:hAnsi="Arial" w:cs="Arial"/>
                <w:sz w:val="24"/>
                <w:szCs w:val="24"/>
              </w:rPr>
              <w:t xml:space="preserve">. Your instructions following this </w:t>
            </w:r>
            <w:proofErr w:type="gramStart"/>
            <w:r w:rsidRPr="004C317C">
              <w:rPr>
                <w:rFonts w:ascii="Arial" w:hAnsi="Arial" w:cs="Arial"/>
                <w:sz w:val="24"/>
                <w:szCs w:val="24"/>
              </w:rPr>
              <w:t>quotation,</w:t>
            </w:r>
            <w:proofErr w:type="gramEnd"/>
            <w:r w:rsidRPr="004C317C">
              <w:rPr>
                <w:rFonts w:ascii="Arial" w:hAnsi="Arial" w:cs="Arial"/>
                <w:sz w:val="24"/>
                <w:szCs w:val="24"/>
              </w:rPr>
              <w:t xml:space="preserve"> automatically imply your acceptance of our General Conditions. Except </w:t>
            </w:r>
            <w:proofErr w:type="gramStart"/>
            <w:r w:rsidRPr="004C317C">
              <w:rPr>
                <w:rFonts w:ascii="Arial" w:hAnsi="Arial" w:cs="Arial"/>
                <w:sz w:val="24"/>
                <w:szCs w:val="24"/>
              </w:rPr>
              <w:t>upon</w:t>
            </w:r>
            <w:proofErr w:type="gramEnd"/>
            <w:r w:rsidRPr="004C317C">
              <w:rPr>
                <w:rFonts w:ascii="Arial" w:hAnsi="Arial" w:cs="Arial"/>
                <w:sz w:val="24"/>
                <w:szCs w:val="24"/>
              </w:rPr>
              <w:t xml:space="preserve"> your explicit instructions, no kind of insurance will be </w:t>
            </w:r>
            <w:proofErr w:type="gramStart"/>
            <w:r w:rsidRPr="004C317C">
              <w:rPr>
                <w:rFonts w:ascii="Arial" w:hAnsi="Arial" w:cs="Arial"/>
                <w:sz w:val="24"/>
                <w:szCs w:val="24"/>
              </w:rPr>
              <w:t>effected</w:t>
            </w:r>
            <w:proofErr w:type="gramEnd"/>
            <w:r w:rsidRPr="004C317C">
              <w:rPr>
                <w:rFonts w:ascii="Arial" w:hAnsi="Arial" w:cs="Arial"/>
                <w:sz w:val="24"/>
                <w:szCs w:val="24"/>
              </w:rPr>
              <w:t xml:space="preserve"> through our intermediary. Subscribing an </w:t>
            </w:r>
            <w:proofErr w:type="gramStart"/>
            <w:r w:rsidRPr="004C317C">
              <w:rPr>
                <w:rFonts w:ascii="Arial" w:hAnsi="Arial" w:cs="Arial"/>
                <w:sz w:val="24"/>
                <w:szCs w:val="24"/>
              </w:rPr>
              <w:t>all risk</w:t>
            </w:r>
            <w:proofErr w:type="gramEnd"/>
            <w:r w:rsidRPr="004C317C">
              <w:rPr>
                <w:rFonts w:ascii="Arial" w:hAnsi="Arial" w:cs="Arial"/>
                <w:sz w:val="24"/>
                <w:szCs w:val="24"/>
              </w:rPr>
              <w:t xml:space="preserve"> insurance, however, takes worries away. We can offer you exceptional rates. For more information: </w:t>
            </w:r>
            <w:hyperlink r:id="rId10" w:history="1">
              <w:r w:rsidRPr="004C317C">
                <w:rPr>
                  <w:rStyle w:val="Hyperlink"/>
                  <w:rFonts w:ascii="Arial" w:eastAsiaTheme="majorEastAsia" w:hAnsi="Arial" w:cs="Arial"/>
                  <w:sz w:val="24"/>
                  <w:szCs w:val="24"/>
                </w:rPr>
                <w:t>insurance@gosselingroup.eu</w:t>
              </w:r>
            </w:hyperlink>
            <w:r w:rsidRPr="004C317C">
              <w:rPr>
                <w:rFonts w:ascii="Arial" w:hAnsi="Arial" w:cs="Arial"/>
                <w:sz w:val="24"/>
                <w:szCs w:val="24"/>
              </w:rPr>
              <w:t xml:space="preserve"> </w:t>
            </w:r>
          </w:p>
          <w:p w14:paraId="5B8C14A5" w14:textId="77777777" w:rsidR="00464E79" w:rsidRPr="004C317C" w:rsidRDefault="00464E79" w:rsidP="00E70989">
            <w:pPr>
              <w:pStyle w:val="NormalWeb"/>
              <w:rPr>
                <w:rFonts w:ascii="Arial" w:hAnsi="Arial" w:cs="Arial"/>
                <w:color w:val="000000"/>
                <w:lang w:val="en-US" w:eastAsia="en-US"/>
              </w:rPr>
            </w:pPr>
            <w:r w:rsidRPr="004C317C">
              <w:rPr>
                <w:rFonts w:ascii="Arial" w:hAnsi="Arial" w:cs="Arial"/>
                <w:lang w:val="en-US" w:eastAsia="en-US"/>
              </w:rPr>
              <w:lastRenderedPageBreak/>
              <w:t xml:space="preserve">For our data protection and anti-bribery policies, please refer to our </w:t>
            </w:r>
            <w:hyperlink r:id="rId11" w:history="1">
              <w:r w:rsidRPr="004C317C">
                <w:rPr>
                  <w:rStyle w:val="Hyperlink"/>
                  <w:rFonts w:ascii="Arial" w:eastAsiaTheme="majorEastAsia" w:hAnsi="Arial" w:cs="Arial"/>
                  <w:b/>
                  <w:bCs/>
                  <w:lang w:val="en-US" w:eastAsia="en-US"/>
                </w:rPr>
                <w:t>Code of Business Ethics and Conduct</w:t>
              </w:r>
            </w:hyperlink>
          </w:p>
          <w:p w14:paraId="2800E1E6" w14:textId="77777777" w:rsidR="00464E79" w:rsidRPr="004C317C" w:rsidRDefault="00464E79" w:rsidP="00E70989">
            <w:pPr>
              <w:pStyle w:val="NormalWeb"/>
              <w:rPr>
                <w:rFonts w:ascii="Arial" w:hAnsi="Arial" w:cs="Arial"/>
                <w:lang w:eastAsia="en-US"/>
              </w:rPr>
            </w:pPr>
            <w:r w:rsidRPr="004C317C">
              <w:rPr>
                <w:rFonts w:ascii="Arial" w:hAnsi="Arial" w:cs="Arial"/>
                <w:color w:val="000000"/>
                <w:lang w:eastAsia="en-US"/>
              </w:rPr>
              <w:t>***</w:t>
            </w:r>
          </w:p>
        </w:tc>
      </w:tr>
      <w:tr w:rsidR="00464E79" w:rsidRPr="004C317C" w14:paraId="3DDBFDE1" w14:textId="77777777" w:rsidTr="00E70989">
        <w:trPr>
          <w:tblCellSpacing w:w="0" w:type="dxa"/>
        </w:trPr>
        <w:tc>
          <w:tcPr>
            <w:tcW w:w="0" w:type="auto"/>
            <w:vAlign w:val="center"/>
            <w:hideMark/>
          </w:tcPr>
          <w:p w14:paraId="6B267824" w14:textId="77777777" w:rsidR="00464E79" w:rsidRPr="004C317C" w:rsidRDefault="00464E79" w:rsidP="00E70989">
            <w:pPr>
              <w:rPr>
                <w:rFonts w:ascii="Arial" w:hAnsi="Arial" w:cs="Arial"/>
              </w:rPr>
            </w:pPr>
            <w:r w:rsidRPr="004C317C">
              <w:rPr>
                <w:rFonts w:ascii="Arial" w:hAnsi="Arial" w:cs="Arial"/>
                <w:color w:val="CC6600"/>
              </w:rPr>
              <w:lastRenderedPageBreak/>
              <w:t xml:space="preserve">Disclaimer: </w:t>
            </w:r>
            <w:r w:rsidRPr="004C317C">
              <w:rPr>
                <w:rFonts w:ascii="Arial" w:hAnsi="Arial" w:cs="Arial"/>
                <w:color w:val="000000"/>
              </w:rPr>
              <w:t>This e-mail and any attachments thereto may contain confidential information and is solely intended for the use of the individual to whom it is addressed. If you are not the intended recipient, be advised that you have received this e-mail in error and that any use, dissemination, forwarding, printing, or copying of this e-mail is strictly prohibited.</w:t>
            </w:r>
          </w:p>
        </w:tc>
      </w:tr>
    </w:tbl>
    <w:p w14:paraId="3BA783DE" w14:textId="77777777" w:rsidR="00464E79" w:rsidRPr="004C317C" w:rsidRDefault="00464E79" w:rsidP="00464E79">
      <w:pPr>
        <w:rPr>
          <w:rFonts w:ascii="Arial" w:hAnsi="Arial" w:cs="Arial"/>
          <w:sz w:val="24"/>
          <w:szCs w:val="24"/>
        </w:rPr>
      </w:pPr>
    </w:p>
    <w:p w14:paraId="247AC167" w14:textId="77777777" w:rsidR="00464E79" w:rsidRPr="004C317C" w:rsidRDefault="00464E79" w:rsidP="00464E79">
      <w:pPr>
        <w:ind w:right="-143"/>
        <w:rPr>
          <w:rFonts w:ascii="Arial" w:hAnsi="Arial" w:cs="Arial"/>
          <w:sz w:val="24"/>
          <w:szCs w:val="24"/>
        </w:rPr>
      </w:pPr>
    </w:p>
    <w:p w14:paraId="145A5986" w14:textId="77777777" w:rsidR="00464E79" w:rsidRPr="004C317C" w:rsidRDefault="00464E79" w:rsidP="00464E79">
      <w:pPr>
        <w:rPr>
          <w:rFonts w:ascii="Arial" w:hAnsi="Arial" w:cs="Arial"/>
          <w:sz w:val="24"/>
          <w:szCs w:val="24"/>
        </w:rPr>
      </w:pPr>
    </w:p>
    <w:p w14:paraId="692919A2" w14:textId="77777777" w:rsidR="00464E79" w:rsidRPr="004C317C" w:rsidRDefault="00464E79" w:rsidP="00464E79">
      <w:pPr>
        <w:rPr>
          <w:rFonts w:ascii="Arial" w:hAnsi="Arial" w:cs="Arial"/>
          <w:sz w:val="24"/>
          <w:szCs w:val="24"/>
        </w:rPr>
      </w:pPr>
    </w:p>
    <w:p w14:paraId="4622F7FE" w14:textId="77777777" w:rsidR="00CE0635" w:rsidRDefault="00CE0635"/>
    <w:sectPr w:rsidR="00CE0635" w:rsidSect="00464E79">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3626"/>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8D3396"/>
    <w:multiLevelType w:val="hybridMultilevel"/>
    <w:tmpl w:val="FFFFFFFF"/>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4668815">
    <w:abstractNumId w:val="0"/>
  </w:num>
  <w:num w:numId="2" w16cid:durableId="138779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9"/>
    <w:rsid w:val="00464E79"/>
    <w:rsid w:val="005D0B17"/>
    <w:rsid w:val="0075730C"/>
    <w:rsid w:val="00910DF6"/>
    <w:rsid w:val="00CE0635"/>
    <w:rsid w:val="00EC086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D3DB"/>
  <w15:chartTrackingRefBased/>
  <w15:docId w15:val="{A8FD6428-C54B-4D4D-BD7D-5B6925F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79"/>
    <w:pPr>
      <w:spacing w:after="0" w:line="240" w:lineRule="auto"/>
    </w:pPr>
    <w:rPr>
      <w:rFonts w:ascii="Times New Roman" w:eastAsia="Times New Roman" w:hAnsi="Times New Roman" w:cs="Times New Roman"/>
      <w:kern w:val="0"/>
      <w:sz w:val="20"/>
      <w:szCs w:val="20"/>
      <w:lang w:val="en-US" w:bidi="ar-SA"/>
      <w14:ligatures w14:val="none"/>
    </w:rPr>
  </w:style>
  <w:style w:type="paragraph" w:styleId="Heading1">
    <w:name w:val="heading 1"/>
    <w:basedOn w:val="Normal"/>
    <w:next w:val="Normal"/>
    <w:link w:val="Heading1Char"/>
    <w:uiPriority w:val="9"/>
    <w:qFormat/>
    <w:rsid w:val="00757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7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3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3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3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3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7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30C"/>
    <w:rPr>
      <w:rFonts w:eastAsiaTheme="majorEastAsia" w:cstheme="majorBidi"/>
      <w:color w:val="272727" w:themeColor="text1" w:themeTint="D8"/>
    </w:rPr>
  </w:style>
  <w:style w:type="paragraph" w:styleId="Title">
    <w:name w:val="Title"/>
    <w:basedOn w:val="Normal"/>
    <w:next w:val="Normal"/>
    <w:link w:val="TitleChar"/>
    <w:uiPriority w:val="10"/>
    <w:qFormat/>
    <w:rsid w:val="007573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30C"/>
    <w:rPr>
      <w:rFonts w:eastAsiaTheme="majorEastAsia" w:cstheme="majorBidi"/>
      <w:color w:val="595959" w:themeColor="text1" w:themeTint="A6"/>
      <w:spacing w:val="15"/>
      <w:sz w:val="28"/>
      <w:szCs w:val="28"/>
    </w:rPr>
  </w:style>
  <w:style w:type="paragraph" w:styleId="ListParagraph">
    <w:name w:val="List Paragraph"/>
    <w:basedOn w:val="Normal"/>
    <w:uiPriority w:val="1"/>
    <w:qFormat/>
    <w:rsid w:val="0075730C"/>
    <w:pPr>
      <w:ind w:left="720"/>
      <w:contextualSpacing/>
    </w:pPr>
  </w:style>
  <w:style w:type="paragraph" w:styleId="Quote">
    <w:name w:val="Quote"/>
    <w:basedOn w:val="Normal"/>
    <w:next w:val="Normal"/>
    <w:link w:val="QuoteChar"/>
    <w:uiPriority w:val="29"/>
    <w:qFormat/>
    <w:rsid w:val="0075730C"/>
    <w:pPr>
      <w:spacing w:before="160"/>
      <w:jc w:val="center"/>
    </w:pPr>
    <w:rPr>
      <w:i/>
      <w:iCs/>
      <w:color w:val="404040" w:themeColor="text1" w:themeTint="BF"/>
    </w:rPr>
  </w:style>
  <w:style w:type="character" w:customStyle="1" w:styleId="QuoteChar">
    <w:name w:val="Quote Char"/>
    <w:basedOn w:val="DefaultParagraphFont"/>
    <w:link w:val="Quote"/>
    <w:uiPriority w:val="29"/>
    <w:rsid w:val="0075730C"/>
    <w:rPr>
      <w:i/>
      <w:iCs/>
      <w:color w:val="404040" w:themeColor="text1" w:themeTint="BF"/>
    </w:rPr>
  </w:style>
  <w:style w:type="paragraph" w:styleId="IntenseQuote">
    <w:name w:val="Intense Quote"/>
    <w:basedOn w:val="Normal"/>
    <w:next w:val="Normal"/>
    <w:link w:val="IntenseQuoteChar"/>
    <w:uiPriority w:val="30"/>
    <w:qFormat/>
    <w:rsid w:val="00757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30C"/>
    <w:rPr>
      <w:i/>
      <w:iCs/>
      <w:color w:val="0F4761" w:themeColor="accent1" w:themeShade="BF"/>
    </w:rPr>
  </w:style>
  <w:style w:type="character" w:styleId="IntenseEmphasis">
    <w:name w:val="Intense Emphasis"/>
    <w:basedOn w:val="DefaultParagraphFont"/>
    <w:uiPriority w:val="21"/>
    <w:qFormat/>
    <w:rsid w:val="0075730C"/>
    <w:rPr>
      <w:i/>
      <w:iCs/>
      <w:color w:val="0F4761" w:themeColor="accent1" w:themeShade="BF"/>
    </w:rPr>
  </w:style>
  <w:style w:type="character" w:styleId="IntenseReference">
    <w:name w:val="Intense Reference"/>
    <w:basedOn w:val="DefaultParagraphFont"/>
    <w:uiPriority w:val="32"/>
    <w:qFormat/>
    <w:rsid w:val="0075730C"/>
    <w:rPr>
      <w:b/>
      <w:bCs/>
      <w:smallCaps/>
      <w:color w:val="0F4761" w:themeColor="accent1" w:themeShade="BF"/>
      <w:spacing w:val="5"/>
    </w:rPr>
  </w:style>
  <w:style w:type="paragraph" w:styleId="BodyText2">
    <w:name w:val="Body Text 2"/>
    <w:basedOn w:val="Normal"/>
    <w:link w:val="BodyText2Char"/>
    <w:uiPriority w:val="99"/>
    <w:unhideWhenUsed/>
    <w:rsid w:val="00464E79"/>
    <w:rPr>
      <w:rFonts w:ascii="Garamond" w:hAnsi="Garamond"/>
      <w:sz w:val="28"/>
    </w:rPr>
  </w:style>
  <w:style w:type="character" w:customStyle="1" w:styleId="BodyText2Char">
    <w:name w:val="Body Text 2 Char"/>
    <w:basedOn w:val="DefaultParagraphFont"/>
    <w:link w:val="BodyText2"/>
    <w:uiPriority w:val="99"/>
    <w:rsid w:val="00464E79"/>
    <w:rPr>
      <w:rFonts w:ascii="Garamond" w:eastAsia="Times New Roman" w:hAnsi="Garamond" w:cs="Times New Roman"/>
      <w:kern w:val="0"/>
      <w:sz w:val="28"/>
      <w:szCs w:val="20"/>
      <w:lang w:val="en-US" w:bidi="ar-SA"/>
      <w14:ligatures w14:val="none"/>
    </w:rPr>
  </w:style>
  <w:style w:type="character" w:styleId="Hyperlink">
    <w:name w:val="Hyperlink"/>
    <w:basedOn w:val="DefaultParagraphFont"/>
    <w:uiPriority w:val="99"/>
    <w:unhideWhenUsed/>
    <w:rsid w:val="00464E79"/>
    <w:rPr>
      <w:rFonts w:cs="Times New Roman"/>
      <w:color w:val="467886" w:themeColor="hyperlink"/>
      <w:u w:val="single"/>
    </w:rPr>
  </w:style>
  <w:style w:type="paragraph" w:styleId="NormalWeb">
    <w:name w:val="Normal (Web)"/>
    <w:basedOn w:val="Normal"/>
    <w:uiPriority w:val="99"/>
    <w:semiHidden/>
    <w:unhideWhenUsed/>
    <w:rsid w:val="00464E79"/>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Y@gosselin-mov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ALY@gosselin-mov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ALY@gosselin-moving.com" TargetMode="External"/><Relationship Id="rId11" Type="http://schemas.openxmlformats.org/officeDocument/2006/relationships/hyperlink" Target="https://eur05.safelinks.protection.outlook.com/?url=https%3A%2F%2Fgosselingroup.eu%2Fen%2Fabout-us%2Fcorporate-governance%2Fdownloads&amp;data=02%7C01%7C%7C953889b32e9641e82e2508d800de324e%7C84df9e7fe9f640afb435aaaaaaaaaaaa%7C1%7C0%7C637260301610209397&amp;sdata=NgWyVXnWlP9BBf8JGdcLS4dmgG89Bhn0Cr%2F3XWxbbWc%3D&amp;reserved=0" TargetMode="External"/><Relationship Id="rId5" Type="http://schemas.openxmlformats.org/officeDocument/2006/relationships/image" Target="media/image1.jpeg"/><Relationship Id="rId10" Type="http://schemas.openxmlformats.org/officeDocument/2006/relationships/hyperlink" Target="mailto:insurance@gosselingroup.eu" TargetMode="External"/><Relationship Id="rId4" Type="http://schemas.openxmlformats.org/officeDocument/2006/relationships/webSettings" Target="webSettings.xml"/><Relationship Id="rId9" Type="http://schemas.openxmlformats.org/officeDocument/2006/relationships/hyperlink" Target="https://eur05.safelinks.protection.outlook.com/?url=http%3A%2F%2Fgosselingroup.eu%2Fen%2Fabout-us%2Fcorporate-governance%2Fdownloads&amp;data=02%7C01%7C%7C953889b32e9641e82e2508d800de324e%7C84df9e7fe9f640afb435aaaaaaaaaaaa%7C1%7C0%7C637260301610209397&amp;sdata=2%2FzAOhEH%2BhmWJMlj4NTwv9MMHEcRlHc7Cgd9cr%2B0mh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1</cp:revision>
  <dcterms:created xsi:type="dcterms:W3CDTF">2025-05-07T10:20:00Z</dcterms:created>
  <dcterms:modified xsi:type="dcterms:W3CDTF">2025-05-07T10:20:00Z</dcterms:modified>
</cp:coreProperties>
</file>